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6C4D" w14:textId="77777777" w:rsidR="00866044" w:rsidRPr="005F4FDE" w:rsidRDefault="00866044" w:rsidP="00866044">
      <w:pPr>
        <w:widowControl w:val="0"/>
        <w:jc w:val="center"/>
        <w:textAlignment w:val="baseline"/>
        <w:rPr>
          <w:b/>
          <w:color w:val="000000" w:themeColor="text1"/>
          <w:szCs w:val="24"/>
        </w:rPr>
      </w:pPr>
    </w:p>
    <w:p w14:paraId="782A370B" w14:textId="77777777" w:rsidR="00866044" w:rsidRPr="005F4FDE" w:rsidRDefault="00866044" w:rsidP="00866044">
      <w:pPr>
        <w:widowControl w:val="0"/>
        <w:jc w:val="center"/>
        <w:textAlignment w:val="baseline"/>
        <w:rPr>
          <w:b/>
          <w:color w:val="000000" w:themeColor="text1"/>
          <w:szCs w:val="24"/>
        </w:rPr>
      </w:pPr>
    </w:p>
    <w:p w14:paraId="32165454" w14:textId="6946C02F" w:rsidR="00866044" w:rsidRPr="008549CC" w:rsidRDefault="00866044" w:rsidP="00866044">
      <w:pPr>
        <w:widowControl w:val="0"/>
        <w:jc w:val="center"/>
        <w:textAlignment w:val="baseline"/>
        <w:rPr>
          <w:b/>
          <w:bCs/>
          <w:sz w:val="36"/>
          <w:szCs w:val="36"/>
        </w:rPr>
      </w:pPr>
      <w:r w:rsidRPr="008549CC">
        <w:rPr>
          <w:b/>
          <w:color w:val="000000" w:themeColor="text1"/>
          <w:sz w:val="36"/>
          <w:szCs w:val="36"/>
        </w:rPr>
        <w:t xml:space="preserve">Uniform </w:t>
      </w:r>
      <w:r>
        <w:rPr>
          <w:b/>
          <w:bCs/>
          <w:sz w:val="36"/>
          <w:szCs w:val="36"/>
        </w:rPr>
        <w:t>Cohabitants’ Economic Remedies</w:t>
      </w:r>
      <w:r w:rsidRPr="008549CC">
        <w:rPr>
          <w:b/>
          <w:bCs/>
          <w:sz w:val="36"/>
          <w:szCs w:val="36"/>
        </w:rPr>
        <w:t xml:space="preserve"> Act</w:t>
      </w:r>
    </w:p>
    <w:p w14:paraId="1DADF601" w14:textId="77777777" w:rsidR="00866044" w:rsidRDefault="00866044" w:rsidP="00866044">
      <w:pPr>
        <w:jc w:val="center"/>
        <w:rPr>
          <w:lang w:val="en-CA"/>
        </w:rPr>
      </w:pPr>
    </w:p>
    <w:p w14:paraId="35C355E3" w14:textId="77777777" w:rsidR="00866044" w:rsidRDefault="00866044" w:rsidP="00866044">
      <w:pPr>
        <w:jc w:val="center"/>
        <w:rPr>
          <w:lang w:val="en-CA"/>
        </w:rPr>
      </w:pPr>
    </w:p>
    <w:p w14:paraId="21C2B0EB" w14:textId="77777777" w:rsidR="00866044" w:rsidRDefault="00866044" w:rsidP="00866044">
      <w:pPr>
        <w:jc w:val="center"/>
        <w:rPr>
          <w:lang w:val="en-CA"/>
        </w:rPr>
      </w:pPr>
    </w:p>
    <w:p w14:paraId="4509FDD7" w14:textId="77777777" w:rsidR="00866044" w:rsidRDefault="00866044" w:rsidP="00866044">
      <w:pPr>
        <w:jc w:val="center"/>
      </w:pPr>
      <w:r>
        <w:t>drafted by the</w:t>
      </w:r>
    </w:p>
    <w:p w14:paraId="2B5BEC1C" w14:textId="77777777" w:rsidR="00866044" w:rsidRDefault="00866044" w:rsidP="00866044">
      <w:pPr>
        <w:jc w:val="center"/>
      </w:pPr>
    </w:p>
    <w:p w14:paraId="007DC132" w14:textId="77777777" w:rsidR="00866044" w:rsidRDefault="00866044" w:rsidP="00866044">
      <w:pPr>
        <w:jc w:val="center"/>
      </w:pPr>
    </w:p>
    <w:p w14:paraId="73695887" w14:textId="77777777" w:rsidR="00866044" w:rsidRDefault="00866044" w:rsidP="00866044">
      <w:pPr>
        <w:jc w:val="center"/>
      </w:pPr>
      <w:r>
        <w:t>NATIONAL CONFERENCE OF COMMISSIONERS</w:t>
      </w:r>
    </w:p>
    <w:p w14:paraId="2B762A2F" w14:textId="77777777" w:rsidR="00866044" w:rsidRDefault="00866044" w:rsidP="00866044">
      <w:pPr>
        <w:jc w:val="center"/>
      </w:pPr>
      <w:r>
        <w:t>ON UNIFORM STATE LAWS</w:t>
      </w:r>
    </w:p>
    <w:p w14:paraId="6F3D04BE" w14:textId="77777777" w:rsidR="00866044" w:rsidRDefault="00866044" w:rsidP="00866044">
      <w:pPr>
        <w:jc w:val="center"/>
      </w:pPr>
    </w:p>
    <w:p w14:paraId="12EBEBA8" w14:textId="77777777" w:rsidR="00866044" w:rsidRDefault="00866044" w:rsidP="00866044">
      <w:pPr>
        <w:jc w:val="center"/>
      </w:pPr>
    </w:p>
    <w:p w14:paraId="7FBC3E9B" w14:textId="77777777" w:rsidR="00866044" w:rsidRDefault="00866044" w:rsidP="00866044">
      <w:pPr>
        <w:jc w:val="center"/>
      </w:pPr>
      <w:r>
        <w:t>and by it</w:t>
      </w:r>
    </w:p>
    <w:p w14:paraId="73BAB173" w14:textId="77777777" w:rsidR="00866044" w:rsidRDefault="00866044" w:rsidP="00866044">
      <w:pPr>
        <w:jc w:val="center"/>
      </w:pPr>
    </w:p>
    <w:p w14:paraId="5C366D68" w14:textId="77777777" w:rsidR="00866044" w:rsidRDefault="00866044" w:rsidP="00866044">
      <w:pPr>
        <w:jc w:val="center"/>
      </w:pPr>
    </w:p>
    <w:p w14:paraId="2F100686" w14:textId="77777777" w:rsidR="00866044" w:rsidRDefault="00866044" w:rsidP="00866044">
      <w:pPr>
        <w:jc w:val="center"/>
      </w:pPr>
      <w:r>
        <w:t>APPROVED AND RECOMMENDED FOR ENACTMENT</w:t>
      </w:r>
    </w:p>
    <w:p w14:paraId="14D7110F" w14:textId="77777777" w:rsidR="00866044" w:rsidRDefault="00866044" w:rsidP="00866044">
      <w:pPr>
        <w:jc w:val="center"/>
      </w:pPr>
      <w:r>
        <w:t>IN ALL THE STATES</w:t>
      </w:r>
    </w:p>
    <w:p w14:paraId="19B61FC7" w14:textId="77777777" w:rsidR="00866044" w:rsidRDefault="00866044" w:rsidP="00866044">
      <w:pPr>
        <w:jc w:val="center"/>
      </w:pPr>
    </w:p>
    <w:p w14:paraId="7AEDD906" w14:textId="77777777" w:rsidR="00866044" w:rsidRDefault="00866044" w:rsidP="00866044">
      <w:pPr>
        <w:jc w:val="center"/>
      </w:pPr>
    </w:p>
    <w:p w14:paraId="11ABC32D" w14:textId="77777777" w:rsidR="00866044" w:rsidRDefault="00866044" w:rsidP="00866044">
      <w:pPr>
        <w:jc w:val="center"/>
      </w:pPr>
      <w:r>
        <w:t>at its</w:t>
      </w:r>
    </w:p>
    <w:p w14:paraId="056B62E7" w14:textId="77777777" w:rsidR="00866044" w:rsidRDefault="00866044" w:rsidP="00866044">
      <w:pPr>
        <w:jc w:val="center"/>
      </w:pPr>
    </w:p>
    <w:p w14:paraId="03BDEB53" w14:textId="77777777" w:rsidR="00866044" w:rsidRDefault="00866044" w:rsidP="00866044">
      <w:pPr>
        <w:jc w:val="center"/>
      </w:pPr>
    </w:p>
    <w:p w14:paraId="27F9737F" w14:textId="77777777" w:rsidR="00866044" w:rsidRPr="00F9753C" w:rsidRDefault="00866044" w:rsidP="00866044">
      <w:pPr>
        <w:jc w:val="center"/>
      </w:pPr>
      <w:r w:rsidRPr="00F9753C">
        <w:t>ANNUAL CONFERENCE</w:t>
      </w:r>
    </w:p>
    <w:p w14:paraId="27D08649" w14:textId="6D156705" w:rsidR="00866044" w:rsidRDefault="00866044" w:rsidP="00866044">
      <w:pPr>
        <w:jc w:val="center"/>
      </w:pPr>
      <w:r w:rsidRPr="00F9753C">
        <w:t>MEETING IN ITS ONE-HUNDRED-AND-T</w:t>
      </w:r>
      <w:r>
        <w:t>HIRTIETH</w:t>
      </w:r>
      <w:r w:rsidRPr="00F9753C">
        <w:t xml:space="preserve"> YEAR</w:t>
      </w:r>
    </w:p>
    <w:p w14:paraId="691E0A93" w14:textId="4CC83AB5" w:rsidR="00E86AE0" w:rsidRPr="00F9753C" w:rsidRDefault="00E86AE0" w:rsidP="00866044">
      <w:pPr>
        <w:jc w:val="center"/>
      </w:pPr>
      <w:r>
        <w:t>MADISON, WISCONSIN</w:t>
      </w:r>
    </w:p>
    <w:p w14:paraId="05BC6C60" w14:textId="3CE367A8" w:rsidR="00866044" w:rsidRDefault="00866044" w:rsidP="00866044">
      <w:pPr>
        <w:jc w:val="center"/>
        <w:rPr>
          <w:sz w:val="28"/>
          <w:szCs w:val="28"/>
        </w:rPr>
      </w:pPr>
      <w:r w:rsidRPr="00F9753C">
        <w:t>JULY 10–15, 202</w:t>
      </w:r>
      <w:r w:rsidR="00061C5C">
        <w:t>1</w:t>
      </w:r>
    </w:p>
    <w:p w14:paraId="289647CA" w14:textId="77777777" w:rsidR="00866044" w:rsidRDefault="00866044" w:rsidP="00866044">
      <w:pPr>
        <w:jc w:val="center"/>
      </w:pPr>
    </w:p>
    <w:p w14:paraId="284CCA9B" w14:textId="77777777" w:rsidR="00866044" w:rsidRDefault="00866044" w:rsidP="00866044">
      <w:pPr>
        <w:jc w:val="center"/>
      </w:pPr>
    </w:p>
    <w:p w14:paraId="250554F5" w14:textId="77777777" w:rsidR="00866044" w:rsidRDefault="00866044" w:rsidP="00866044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07C2130D" wp14:editId="4CCD50B6">
            <wp:extent cx="1019175" cy="1019175"/>
            <wp:effectExtent l="0" t="0" r="9525" b="9525"/>
            <wp:docPr id="2" name="Picture 2" descr="Uniform Law Commiss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form Law Commission log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8FAC4" w14:textId="77777777" w:rsidR="00866044" w:rsidRDefault="00866044" w:rsidP="00866044">
      <w:pPr>
        <w:jc w:val="center"/>
      </w:pPr>
    </w:p>
    <w:p w14:paraId="7FD92124" w14:textId="77777777" w:rsidR="00866044" w:rsidRDefault="00866044" w:rsidP="00866044">
      <w:pPr>
        <w:jc w:val="center"/>
      </w:pPr>
    </w:p>
    <w:p w14:paraId="47D97084" w14:textId="0BC32AD9" w:rsidR="00866044" w:rsidRDefault="00866044" w:rsidP="00866044">
      <w:pPr>
        <w:jc w:val="center"/>
        <w:rPr>
          <w:i/>
          <w:iCs/>
          <w:caps/>
        </w:rPr>
      </w:pPr>
      <w:r>
        <w:rPr>
          <w:i/>
          <w:iCs/>
          <w:caps/>
        </w:rPr>
        <w:t>WITH</w:t>
      </w:r>
      <w:r w:rsidR="00744D61">
        <w:rPr>
          <w:i/>
          <w:iCs/>
          <w:caps/>
        </w:rPr>
        <w:t>OUT</w:t>
      </w:r>
      <w:r>
        <w:rPr>
          <w:i/>
          <w:iCs/>
          <w:caps/>
        </w:rPr>
        <w:t xml:space="preserve"> Prefatory Note and Comments</w:t>
      </w:r>
    </w:p>
    <w:p w14:paraId="7BBE5D54" w14:textId="77777777" w:rsidR="00866044" w:rsidRDefault="00866044" w:rsidP="00866044">
      <w:pPr>
        <w:jc w:val="center"/>
        <w:rPr>
          <w:i/>
        </w:rPr>
      </w:pPr>
    </w:p>
    <w:p w14:paraId="510F5680" w14:textId="77777777" w:rsidR="00866044" w:rsidRDefault="00866044" w:rsidP="00866044">
      <w:pPr>
        <w:jc w:val="center"/>
      </w:pPr>
    </w:p>
    <w:p w14:paraId="5476576C" w14:textId="77777777" w:rsidR="00866044" w:rsidRDefault="00866044" w:rsidP="00866044">
      <w:pPr>
        <w:jc w:val="center"/>
      </w:pPr>
    </w:p>
    <w:p w14:paraId="5B04ABCA" w14:textId="77777777" w:rsidR="00866044" w:rsidRDefault="00866044" w:rsidP="00866044">
      <w:pPr>
        <w:jc w:val="center"/>
        <w:rPr>
          <w:sz w:val="20"/>
        </w:rPr>
      </w:pPr>
      <w:r>
        <w:rPr>
          <w:sz w:val="20"/>
        </w:rPr>
        <w:t>Copyright © 2021</w:t>
      </w:r>
    </w:p>
    <w:p w14:paraId="5D3F5141" w14:textId="77777777" w:rsidR="00866044" w:rsidRDefault="00866044" w:rsidP="00866044">
      <w:pPr>
        <w:jc w:val="center"/>
        <w:rPr>
          <w:sz w:val="20"/>
        </w:rPr>
      </w:pPr>
      <w:r>
        <w:rPr>
          <w:sz w:val="20"/>
        </w:rPr>
        <w:t>By</w:t>
      </w:r>
    </w:p>
    <w:p w14:paraId="611D0187" w14:textId="77777777" w:rsidR="00866044" w:rsidRDefault="00866044" w:rsidP="00866044">
      <w:pPr>
        <w:jc w:val="center"/>
        <w:rPr>
          <w:sz w:val="20"/>
        </w:rPr>
      </w:pPr>
      <w:r>
        <w:rPr>
          <w:sz w:val="20"/>
        </w:rPr>
        <w:t>NATIONAL CONFERENCE OF COMMISSIONERS</w:t>
      </w:r>
    </w:p>
    <w:p w14:paraId="30D08CDC" w14:textId="77777777" w:rsidR="00866044" w:rsidRDefault="00866044" w:rsidP="00866044">
      <w:pPr>
        <w:jc w:val="center"/>
        <w:rPr>
          <w:sz w:val="20"/>
        </w:rPr>
      </w:pPr>
      <w:r>
        <w:rPr>
          <w:sz w:val="20"/>
        </w:rPr>
        <w:t>ON UNIFORM STATE LAWS</w:t>
      </w:r>
    </w:p>
    <w:p w14:paraId="0AB2DD11" w14:textId="77777777" w:rsidR="005F4FDE" w:rsidRDefault="005F4FDE" w:rsidP="00866044">
      <w:pPr>
        <w:jc w:val="center"/>
        <w:rPr>
          <w:bCs/>
          <w:sz w:val="20"/>
        </w:rPr>
      </w:pPr>
    </w:p>
    <w:p w14:paraId="507B2DD1" w14:textId="77777777" w:rsidR="00C85E18" w:rsidRDefault="006C2A9E" w:rsidP="00866044">
      <w:pPr>
        <w:jc w:val="right"/>
        <w:rPr>
          <w:sz w:val="20"/>
        </w:rPr>
      </w:pPr>
      <w:r>
        <w:rPr>
          <w:sz w:val="20"/>
        </w:rPr>
        <w:t>May</w:t>
      </w:r>
      <w:r w:rsidR="009D140B">
        <w:rPr>
          <w:sz w:val="20"/>
        </w:rPr>
        <w:t xml:space="preserve"> 4</w:t>
      </w:r>
      <w:r w:rsidR="00866044">
        <w:rPr>
          <w:sz w:val="20"/>
        </w:rPr>
        <w:t>, 202</w:t>
      </w:r>
      <w:r>
        <w:rPr>
          <w:sz w:val="20"/>
        </w:rPr>
        <w:t>2</w:t>
      </w:r>
    </w:p>
    <w:p w14:paraId="5C6E945D" w14:textId="403F1E53" w:rsidR="006C2A9E" w:rsidRDefault="006C2A9E" w:rsidP="00866044">
      <w:pPr>
        <w:jc w:val="right"/>
        <w:rPr>
          <w:sz w:val="20"/>
        </w:rPr>
        <w:sectPr w:rsidR="006C2A9E" w:rsidSect="009D0BFB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F76E8FE" w14:textId="77777777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eastAsia="Calibri"/>
          <w:b/>
          <w:bCs/>
          <w:szCs w:val="24"/>
        </w:rPr>
      </w:pPr>
      <w:r w:rsidRPr="00FD72E9">
        <w:rPr>
          <w:rFonts w:eastAsia="Calibri"/>
          <w:b/>
          <w:bCs/>
          <w:szCs w:val="24"/>
        </w:rPr>
        <w:lastRenderedPageBreak/>
        <w:t>Uniform Cohabitants’ Economic Remedies Act</w:t>
      </w:r>
    </w:p>
    <w:p w14:paraId="4FD530FD" w14:textId="77777777" w:rsidR="00704641" w:rsidRPr="00FD72E9" w:rsidRDefault="00704641" w:rsidP="005D5E12">
      <w:pPr>
        <w:widowControl w:val="0"/>
        <w:autoSpaceDE w:val="0"/>
        <w:autoSpaceDN w:val="0"/>
        <w:adjustRightInd w:val="0"/>
        <w:spacing w:line="480" w:lineRule="auto"/>
        <w:ind w:firstLine="720"/>
        <w:rPr>
          <w:rStyle w:val="Heading1Char"/>
          <w:rFonts w:eastAsia="Calibri"/>
          <w:szCs w:val="24"/>
        </w:rPr>
      </w:pPr>
      <w:bookmarkStart w:id="0" w:name="_Toc67055276"/>
      <w:bookmarkStart w:id="1" w:name="_Toc83988203"/>
      <w:r w:rsidRPr="00FD72E9">
        <w:rPr>
          <w:rStyle w:val="Heading1Char"/>
          <w:rFonts w:eastAsia="Calibri"/>
          <w:szCs w:val="24"/>
        </w:rPr>
        <w:t>Section 1. Title</w:t>
      </w:r>
      <w:bookmarkEnd w:id="0"/>
      <w:bookmarkEnd w:id="1"/>
    </w:p>
    <w:p w14:paraId="40C53626" w14:textId="77777777" w:rsidR="00704641" w:rsidRPr="00FD72E9" w:rsidRDefault="00704641" w:rsidP="005D5E12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r w:rsidRPr="00FD72E9">
        <w:rPr>
          <w:rFonts w:eastAsia="Calibri"/>
          <w:szCs w:val="24"/>
        </w:rPr>
        <w:t>This [act] may be cited as the Uniform</w:t>
      </w:r>
      <w:r w:rsidRPr="00FD72E9">
        <w:rPr>
          <w:rFonts w:eastAsia="Calibri"/>
          <w:b/>
          <w:bCs/>
          <w:szCs w:val="24"/>
        </w:rPr>
        <w:t xml:space="preserve"> </w:t>
      </w:r>
      <w:r w:rsidRPr="00FD72E9">
        <w:rPr>
          <w:szCs w:val="24"/>
          <w:shd w:val="clear" w:color="auto" w:fill="FFFFFF"/>
        </w:rPr>
        <w:t>Cohabitants’ Economic Remedies Act</w:t>
      </w:r>
      <w:r w:rsidRPr="00FD72E9">
        <w:rPr>
          <w:rFonts w:eastAsia="Calibri"/>
          <w:szCs w:val="24"/>
        </w:rPr>
        <w:t>.</w:t>
      </w:r>
    </w:p>
    <w:p w14:paraId="68BB1A48" w14:textId="77777777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rPr>
          <w:rStyle w:val="Heading1Char"/>
          <w:rFonts w:eastAsia="Calibri"/>
          <w:szCs w:val="24"/>
        </w:rPr>
      </w:pPr>
      <w:bookmarkStart w:id="2" w:name="_Toc336855850"/>
      <w:bookmarkStart w:id="3" w:name="_Toc46483090"/>
      <w:bookmarkStart w:id="4" w:name="_Toc67055277"/>
      <w:bookmarkStart w:id="5" w:name="_Toc83988204"/>
      <w:r w:rsidRPr="00FD72E9">
        <w:rPr>
          <w:rStyle w:val="Heading1Char"/>
          <w:rFonts w:eastAsia="Calibri"/>
          <w:szCs w:val="24"/>
        </w:rPr>
        <w:t>Section 2. Definitions</w:t>
      </w:r>
      <w:bookmarkEnd w:id="2"/>
      <w:bookmarkEnd w:id="3"/>
      <w:bookmarkEnd w:id="4"/>
      <w:bookmarkEnd w:id="5"/>
    </w:p>
    <w:p w14:paraId="6CEC2B1F" w14:textId="77777777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rPr>
          <w:rFonts w:eastAsia="Calibri"/>
          <w:szCs w:val="24"/>
        </w:rPr>
      </w:pPr>
      <w:r w:rsidRPr="00FD72E9">
        <w:rPr>
          <w:rFonts w:eastAsia="Calibri"/>
          <w:szCs w:val="24"/>
        </w:rPr>
        <w:t>In this [act]:</w:t>
      </w:r>
      <w:bookmarkStart w:id="6" w:name="Agreement"/>
      <w:bookmarkEnd w:id="6"/>
    </w:p>
    <w:p w14:paraId="3B3F44D7" w14:textId="77777777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rPr>
          <w:rFonts w:eastAsia="Calibri"/>
          <w:szCs w:val="24"/>
        </w:rPr>
      </w:pPr>
      <w:r w:rsidRPr="00FD72E9">
        <w:rPr>
          <w:szCs w:val="24"/>
        </w:rPr>
        <w:tab/>
        <w:t>(1) “Cohabitant” means each of two individuals not married to each other who live together as a couple after each has reached the age of majority or been emancipated. The term does not include individuals who are too closely related to marry each other legally.</w:t>
      </w:r>
    </w:p>
    <w:p w14:paraId="0540BA42" w14:textId="0E288E8D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  <w:t xml:space="preserve">(2) “Cohabitants’ agreement” means an agreement between </w:t>
      </w:r>
      <w:r w:rsidR="00810AFB">
        <w:rPr>
          <w:szCs w:val="24"/>
        </w:rPr>
        <w:t xml:space="preserve">two </w:t>
      </w:r>
      <w:r w:rsidRPr="00FD72E9">
        <w:rPr>
          <w:szCs w:val="24"/>
        </w:rPr>
        <w:t xml:space="preserve">individuals concerning contributions to the relationship if the individuals are to become, are, or were cohabitants. The term includes a waiver of rights under </w:t>
      </w:r>
      <w:r w:rsidR="00810AFB">
        <w:rPr>
          <w:szCs w:val="24"/>
        </w:rPr>
        <w:t>this</w:t>
      </w:r>
      <w:r w:rsidR="00810AFB" w:rsidRPr="00FD72E9">
        <w:rPr>
          <w:szCs w:val="24"/>
        </w:rPr>
        <w:t xml:space="preserve"> </w:t>
      </w:r>
      <w:r w:rsidRPr="00FD72E9">
        <w:rPr>
          <w:szCs w:val="24"/>
        </w:rPr>
        <w:t>[act].</w:t>
      </w:r>
    </w:p>
    <w:p w14:paraId="1F363AC3" w14:textId="384D9E60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  <w:t>(3) “Contributions to the relationship” means contributions of a cohabitant that benefit the other cohabitant, both cohabitants, or the cohabitants’ relationship, in the form of efforts, activities, services, or property. The term:</w:t>
      </w:r>
    </w:p>
    <w:p w14:paraId="7E791AEF" w14:textId="77777777" w:rsidR="00704641" w:rsidRPr="00FD72E9" w:rsidRDefault="00704641" w:rsidP="005D5E12">
      <w:pPr>
        <w:widowControl w:val="0"/>
        <w:shd w:val="clear" w:color="auto" w:fill="FFFFFF"/>
        <w:spacing w:line="480" w:lineRule="auto"/>
        <w:ind w:left="1440" w:firstLine="720"/>
        <w:rPr>
          <w:szCs w:val="24"/>
        </w:rPr>
      </w:pPr>
      <w:r w:rsidRPr="00FD72E9">
        <w:rPr>
          <w:szCs w:val="24"/>
        </w:rPr>
        <w:t>(A) includes:</w:t>
      </w:r>
    </w:p>
    <w:p w14:paraId="070B49B3" w14:textId="14C1A7BD" w:rsidR="00704641" w:rsidRPr="00FD72E9" w:rsidRDefault="00DB09A9" w:rsidP="005D5E12">
      <w:pPr>
        <w:widowControl w:val="0"/>
        <w:shd w:val="clear" w:color="auto" w:fill="FFFFFF"/>
        <w:spacing w:line="480" w:lineRule="auto"/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04641" w:rsidRPr="00FD72E9">
        <w:rPr>
          <w:szCs w:val="24"/>
        </w:rPr>
        <w:t xml:space="preserve">(i) cooking, cleaning, shopping, household maintenance, conducting errands, </w:t>
      </w:r>
      <w:r w:rsidR="00810AFB">
        <w:rPr>
          <w:szCs w:val="24"/>
        </w:rPr>
        <w:t>and</w:t>
      </w:r>
      <w:r w:rsidR="00810AFB" w:rsidRPr="00FD72E9">
        <w:rPr>
          <w:szCs w:val="24"/>
        </w:rPr>
        <w:t xml:space="preserve"> </w:t>
      </w:r>
      <w:r w:rsidR="00704641" w:rsidRPr="00FD72E9">
        <w:rPr>
          <w:szCs w:val="24"/>
        </w:rPr>
        <w:t>other domestic services for the benefit of the other cohabitant or the cohabitants’ relationship; and</w:t>
      </w:r>
    </w:p>
    <w:p w14:paraId="571709B4" w14:textId="2F44F998" w:rsidR="00704641" w:rsidRPr="00FD72E9" w:rsidRDefault="00DB09A9" w:rsidP="005D5E12">
      <w:pPr>
        <w:widowControl w:val="0"/>
        <w:shd w:val="clear" w:color="auto" w:fill="FFFFFF"/>
        <w:spacing w:line="480" w:lineRule="auto"/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04641" w:rsidRPr="00FD72E9">
        <w:rPr>
          <w:szCs w:val="24"/>
        </w:rPr>
        <w:t xml:space="preserve">(ii) otherwise caring for the other cohabitant, a child in common, or another family member of the other </w:t>
      </w:r>
      <w:r w:rsidR="00C03685">
        <w:rPr>
          <w:szCs w:val="24"/>
        </w:rPr>
        <w:t>cohabitant; and</w:t>
      </w:r>
    </w:p>
    <w:p w14:paraId="29DC28A4" w14:textId="042803DB" w:rsidR="00704641" w:rsidRPr="00FD72E9" w:rsidRDefault="00704641" w:rsidP="005D5E12">
      <w:pPr>
        <w:widowControl w:val="0"/>
        <w:shd w:val="clear" w:color="auto" w:fill="FFFFFF"/>
        <w:spacing w:line="480" w:lineRule="auto"/>
        <w:ind w:left="1440" w:firstLine="720"/>
        <w:rPr>
          <w:szCs w:val="24"/>
        </w:rPr>
      </w:pPr>
      <w:r w:rsidRPr="00FD72E9">
        <w:rPr>
          <w:szCs w:val="24"/>
        </w:rPr>
        <w:t>(B) does not include sexual relations.</w:t>
      </w:r>
    </w:p>
    <w:p w14:paraId="7E0FE4C8" w14:textId="77777777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</w:r>
      <w:r w:rsidRPr="00FD72E9">
        <w:rPr>
          <w:rFonts w:eastAsia="Calibri"/>
          <w:szCs w:val="24"/>
        </w:rPr>
        <w:t xml:space="preserve">(4) </w:t>
      </w:r>
      <w:r w:rsidRPr="00FD72E9">
        <w:rPr>
          <w:szCs w:val="24"/>
        </w:rPr>
        <w:t xml:space="preserve">“Property” means anything that may be the subject of ownership, whether real or personal, tangible or intangible, legal or equitable, or any interest therein. The term includes </w:t>
      </w:r>
      <w:r w:rsidRPr="00FD72E9">
        <w:rPr>
          <w:szCs w:val="24"/>
        </w:rPr>
        <w:lastRenderedPageBreak/>
        <w:t>responsibility for a debt.</w:t>
      </w:r>
    </w:p>
    <w:p w14:paraId="42C8B841" w14:textId="77777777" w:rsidR="00704641" w:rsidRPr="00FD72E9" w:rsidRDefault="00704641" w:rsidP="005D5E12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r w:rsidRPr="00FD72E9">
        <w:rPr>
          <w:rFonts w:eastAsia="Calibri"/>
          <w:szCs w:val="24"/>
        </w:rPr>
        <w:tab/>
        <w:t>(5) “Record” means information:</w:t>
      </w:r>
    </w:p>
    <w:p w14:paraId="29516929" w14:textId="77777777" w:rsidR="00704641" w:rsidRPr="00FD72E9" w:rsidRDefault="00704641" w:rsidP="005D5E12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r w:rsidRPr="00FD72E9">
        <w:rPr>
          <w:rFonts w:eastAsia="Calibri"/>
          <w:szCs w:val="24"/>
        </w:rPr>
        <w:tab/>
      </w:r>
      <w:r w:rsidRPr="00FD72E9">
        <w:rPr>
          <w:rFonts w:eastAsia="Calibri"/>
          <w:szCs w:val="24"/>
        </w:rPr>
        <w:tab/>
        <w:t>(A) inscribed on a tangible medium; or</w:t>
      </w:r>
    </w:p>
    <w:p w14:paraId="333C11AD" w14:textId="77777777" w:rsidR="00704641" w:rsidRPr="00FD72E9" w:rsidRDefault="00704641" w:rsidP="005D5E12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r w:rsidRPr="00FD72E9">
        <w:rPr>
          <w:rFonts w:eastAsia="Calibri"/>
          <w:szCs w:val="24"/>
        </w:rPr>
        <w:tab/>
      </w:r>
      <w:r w:rsidRPr="00FD72E9">
        <w:rPr>
          <w:rFonts w:eastAsia="Calibri"/>
          <w:szCs w:val="24"/>
        </w:rPr>
        <w:tab/>
        <w:t>(B) stored in an electronic or other medium and retrievable in perceivable form.</w:t>
      </w:r>
    </w:p>
    <w:p w14:paraId="227EF423" w14:textId="77777777" w:rsidR="00704641" w:rsidRPr="00FD72E9" w:rsidRDefault="00704641" w:rsidP="005D5E12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r w:rsidRPr="00FD72E9">
        <w:rPr>
          <w:rFonts w:eastAsia="Calibri"/>
          <w:szCs w:val="24"/>
        </w:rPr>
        <w:tab/>
        <w:t>(6) “State” means a state of the United States, the District of Columbia, Puerto Rico, the United States Virgin Islands, or any other territory or possession subject to the jurisdiction of the United States.</w:t>
      </w:r>
    </w:p>
    <w:p w14:paraId="7B68B7D5" w14:textId="77777777" w:rsidR="00704641" w:rsidRPr="00FD72E9" w:rsidRDefault="00704641" w:rsidP="005D5E12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  <w:t>(7) “Termination of cohabitation” means the earliest of:</w:t>
      </w:r>
    </w:p>
    <w:p w14:paraId="7B614D67" w14:textId="77777777" w:rsidR="00704641" w:rsidRPr="00FD72E9" w:rsidRDefault="00704641" w:rsidP="005D5E12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</w:r>
      <w:r w:rsidRPr="00FD72E9">
        <w:rPr>
          <w:szCs w:val="24"/>
        </w:rPr>
        <w:tab/>
        <w:t>(A) the death of a cohabitant;</w:t>
      </w:r>
    </w:p>
    <w:p w14:paraId="5EE35F54" w14:textId="77777777" w:rsidR="00704641" w:rsidRPr="00FD72E9" w:rsidRDefault="00704641" w:rsidP="005D5E12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</w:r>
      <w:r w:rsidRPr="00FD72E9">
        <w:rPr>
          <w:szCs w:val="24"/>
        </w:rPr>
        <w:tab/>
        <w:t>(B) the date the cohabitants stop living together as a couple; or</w:t>
      </w:r>
    </w:p>
    <w:p w14:paraId="53CCFD8B" w14:textId="77777777" w:rsidR="00704641" w:rsidRPr="00FD72E9" w:rsidRDefault="00704641" w:rsidP="005D5E12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</w:r>
      <w:r w:rsidRPr="00FD72E9">
        <w:rPr>
          <w:szCs w:val="24"/>
        </w:rPr>
        <w:tab/>
        <w:t>(C) the date of the cohabitants’ marriage to each other.</w:t>
      </w:r>
    </w:p>
    <w:p w14:paraId="252FEBDD" w14:textId="77777777" w:rsidR="00704641" w:rsidRPr="00FD72E9" w:rsidRDefault="00704641" w:rsidP="005D5E12">
      <w:pPr>
        <w:pStyle w:val="Heading1"/>
        <w:keepNext w:val="0"/>
        <w:keepLines w:val="0"/>
        <w:ind w:firstLine="720"/>
        <w:rPr>
          <w:szCs w:val="24"/>
        </w:rPr>
      </w:pPr>
      <w:bookmarkStart w:id="7" w:name="_Toc46483091"/>
      <w:bookmarkStart w:id="8" w:name="_Toc67055278"/>
      <w:bookmarkStart w:id="9" w:name="_Toc83988205"/>
      <w:r w:rsidRPr="00FD72E9">
        <w:rPr>
          <w:szCs w:val="24"/>
        </w:rPr>
        <w:t>Section 3. Scope</w:t>
      </w:r>
      <w:bookmarkEnd w:id="7"/>
      <w:bookmarkEnd w:id="8"/>
      <w:bookmarkEnd w:id="9"/>
    </w:p>
    <w:p w14:paraId="32DED8E3" w14:textId="77777777" w:rsidR="00704641" w:rsidRPr="00FD72E9" w:rsidRDefault="00704641" w:rsidP="005D5E12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>This [act] applies only to a contractual or equitable claim between cohabitants concerning an interest, promise, or obligation arising from contributions to the relationship. The rights and remedies of cohabitants under this [act] are not exclusive.</w:t>
      </w:r>
    </w:p>
    <w:p w14:paraId="4DFC0E5B" w14:textId="77777777" w:rsidR="00704641" w:rsidRPr="00FD72E9" w:rsidRDefault="00704641" w:rsidP="005D5E12">
      <w:pPr>
        <w:widowControl w:val="0"/>
        <w:spacing w:line="480" w:lineRule="auto"/>
        <w:ind w:firstLine="720"/>
        <w:contextualSpacing/>
        <w:rPr>
          <w:rStyle w:val="Heading1Char"/>
          <w:rFonts w:eastAsiaTheme="minorEastAsia"/>
          <w:szCs w:val="24"/>
        </w:rPr>
      </w:pPr>
      <w:bookmarkStart w:id="10" w:name="_Toc83988206"/>
      <w:bookmarkStart w:id="11" w:name="_Toc46483093"/>
      <w:r w:rsidRPr="00FD72E9">
        <w:rPr>
          <w:rStyle w:val="Heading1Char"/>
          <w:szCs w:val="24"/>
        </w:rPr>
        <w:t>Section 4. Right of Cohabitant to Bring Action</w:t>
      </w:r>
      <w:bookmarkEnd w:id="10"/>
    </w:p>
    <w:p w14:paraId="59BFA614" w14:textId="0C2B5108" w:rsidR="00704641" w:rsidRPr="00FD72E9" w:rsidRDefault="00704641" w:rsidP="005D5E12">
      <w:pPr>
        <w:widowControl w:val="0"/>
        <w:spacing w:line="480" w:lineRule="auto"/>
        <w:ind w:firstLine="720"/>
        <w:contextualSpacing/>
        <w:rPr>
          <w:szCs w:val="24"/>
          <w:bdr w:val="none" w:sz="0" w:space="0" w:color="auto" w:frame="1"/>
        </w:rPr>
      </w:pPr>
      <w:r w:rsidRPr="00FD72E9">
        <w:rPr>
          <w:szCs w:val="24"/>
          <w:bdr w:val="none" w:sz="0" w:space="0" w:color="auto" w:frame="1"/>
        </w:rPr>
        <w:t>(a) An individual who is or was a cohabitant may commence an action on a contractual or equitable claim that arises out of contributions to the relationship. The action is not:</w:t>
      </w:r>
    </w:p>
    <w:p w14:paraId="2853321F" w14:textId="581135E4" w:rsidR="00704641" w:rsidRPr="00FD72E9" w:rsidRDefault="00704641" w:rsidP="005D5E12">
      <w:pPr>
        <w:widowControl w:val="0"/>
        <w:spacing w:line="480" w:lineRule="auto"/>
        <w:ind w:firstLine="720"/>
        <w:contextualSpacing/>
        <w:rPr>
          <w:szCs w:val="24"/>
          <w:bdr w:val="none" w:sz="0" w:space="0" w:color="auto" w:frame="1"/>
        </w:rPr>
      </w:pPr>
      <w:r w:rsidRPr="00FD72E9">
        <w:rPr>
          <w:szCs w:val="24"/>
          <w:bdr w:val="none" w:sz="0" w:space="0" w:color="auto" w:frame="1"/>
        </w:rPr>
        <w:tab/>
        <w:t xml:space="preserve">(1) barred because of a sexual relationship between </w:t>
      </w:r>
      <w:r w:rsidR="00E94BC9">
        <w:rPr>
          <w:szCs w:val="24"/>
          <w:bdr w:val="none" w:sz="0" w:space="0" w:color="auto" w:frame="1"/>
        </w:rPr>
        <w:t xml:space="preserve">the </w:t>
      </w:r>
      <w:r w:rsidRPr="00FD72E9">
        <w:rPr>
          <w:szCs w:val="24"/>
          <w:bdr w:val="none" w:sz="0" w:space="0" w:color="auto" w:frame="1"/>
        </w:rPr>
        <w:t>cohabitants;</w:t>
      </w:r>
    </w:p>
    <w:p w14:paraId="1AB69579" w14:textId="60528919" w:rsidR="00704641" w:rsidRPr="00FD72E9" w:rsidRDefault="00704641" w:rsidP="005D5E12">
      <w:pPr>
        <w:widowControl w:val="0"/>
        <w:spacing w:line="480" w:lineRule="auto"/>
        <w:ind w:firstLine="720"/>
        <w:contextualSpacing/>
        <w:rPr>
          <w:szCs w:val="24"/>
          <w:bdr w:val="none" w:sz="0" w:space="0" w:color="auto" w:frame="1"/>
        </w:rPr>
      </w:pPr>
      <w:r w:rsidRPr="00FD72E9">
        <w:rPr>
          <w:szCs w:val="24"/>
          <w:bdr w:val="none" w:sz="0" w:space="0" w:color="auto" w:frame="1"/>
        </w:rPr>
        <w:tab/>
        <w:t xml:space="preserve">(2) subject to additional substantive or procedural requirements because the parties </w:t>
      </w:r>
      <w:r w:rsidR="00E94BC9">
        <w:rPr>
          <w:szCs w:val="24"/>
          <w:bdr w:val="none" w:sz="0" w:space="0" w:color="auto" w:frame="1"/>
        </w:rPr>
        <w:t xml:space="preserve">to the action </w:t>
      </w:r>
      <w:r w:rsidRPr="00FD72E9">
        <w:rPr>
          <w:szCs w:val="24"/>
          <w:bdr w:val="none" w:sz="0" w:space="0" w:color="auto" w:frame="1"/>
        </w:rPr>
        <w:t xml:space="preserve">are or were cohabitants or because of a sexual relationship between the cohabitants; or </w:t>
      </w:r>
    </w:p>
    <w:p w14:paraId="6990FE00" w14:textId="77CBFC93" w:rsidR="00704641" w:rsidRPr="00FD72E9" w:rsidRDefault="00704641" w:rsidP="005D5E12">
      <w:pPr>
        <w:widowControl w:val="0"/>
        <w:spacing w:line="480" w:lineRule="auto"/>
        <w:ind w:firstLine="720"/>
        <w:contextualSpacing/>
        <w:rPr>
          <w:szCs w:val="24"/>
          <w:bdr w:val="none" w:sz="0" w:space="0" w:color="auto" w:frame="1"/>
        </w:rPr>
      </w:pPr>
      <w:r w:rsidRPr="00FD72E9">
        <w:rPr>
          <w:szCs w:val="24"/>
          <w:bdr w:val="none" w:sz="0" w:space="0" w:color="auto" w:frame="1"/>
        </w:rPr>
        <w:lastRenderedPageBreak/>
        <w:tab/>
        <w:t xml:space="preserve">(3) extinguished by the marriage of </w:t>
      </w:r>
      <w:r w:rsidR="00E94BC9">
        <w:rPr>
          <w:szCs w:val="24"/>
          <w:bdr w:val="none" w:sz="0" w:space="0" w:color="auto" w:frame="1"/>
        </w:rPr>
        <w:t xml:space="preserve">the </w:t>
      </w:r>
      <w:r w:rsidRPr="00FD72E9">
        <w:rPr>
          <w:szCs w:val="24"/>
          <w:bdr w:val="none" w:sz="0" w:space="0" w:color="auto" w:frame="1"/>
        </w:rPr>
        <w:t>cohabitants to each other.</w:t>
      </w:r>
    </w:p>
    <w:p w14:paraId="7A6D24EE" w14:textId="0C71C412" w:rsidR="00704641" w:rsidRPr="00FD72E9" w:rsidRDefault="00704641" w:rsidP="005D5E12">
      <w:pPr>
        <w:widowControl w:val="0"/>
        <w:shd w:val="clear" w:color="auto" w:fill="FFFFFF"/>
        <w:spacing w:line="480" w:lineRule="auto"/>
        <w:ind w:firstLine="720"/>
        <w:contextualSpacing/>
        <w:rPr>
          <w:bdr w:val="none" w:sz="0" w:space="0" w:color="auto" w:frame="1"/>
        </w:rPr>
      </w:pPr>
      <w:bookmarkStart w:id="12" w:name="_Hlk69138828"/>
      <w:r w:rsidRPr="00FD72E9">
        <w:rPr>
          <w:bdr w:val="none" w:sz="0" w:space="0" w:color="auto" w:frame="1"/>
        </w:rPr>
        <w:t>(b)</w:t>
      </w:r>
      <w:r w:rsidR="009B5DF2">
        <w:rPr>
          <w:bdr w:val="none" w:sz="0" w:space="0" w:color="auto" w:frame="1"/>
        </w:rPr>
        <w:t xml:space="preserve"> </w:t>
      </w:r>
      <w:r w:rsidR="00E94BC9">
        <w:rPr>
          <w:bdr w:val="none" w:sz="0" w:space="0" w:color="auto" w:frame="1"/>
        </w:rPr>
        <w:t xml:space="preserve">The </w:t>
      </w:r>
      <w:r w:rsidR="0046021F">
        <w:rPr>
          <w:bdr w:val="none" w:sz="0" w:space="0" w:color="auto" w:frame="1"/>
        </w:rPr>
        <w:t>action</w:t>
      </w:r>
      <w:r w:rsidRPr="00FD72E9">
        <w:rPr>
          <w:bdr w:val="none" w:sz="0" w:space="0" w:color="auto" w:frame="1"/>
        </w:rPr>
        <w:t xml:space="preserve"> may be commenced on behalf of a deceased cohabitant’s estate.</w:t>
      </w:r>
    </w:p>
    <w:p w14:paraId="482EC3FC" w14:textId="22825FBF" w:rsidR="00704641" w:rsidRDefault="00704641" w:rsidP="005D5E12">
      <w:pPr>
        <w:widowControl w:val="0"/>
        <w:shd w:val="clear" w:color="auto" w:fill="FFFFFF"/>
        <w:spacing w:line="480" w:lineRule="auto"/>
        <w:ind w:firstLine="720"/>
        <w:contextualSpacing/>
        <w:rPr>
          <w:bdr w:val="none" w:sz="0" w:space="0" w:color="auto" w:frame="1"/>
        </w:rPr>
      </w:pPr>
      <w:r w:rsidRPr="00FD72E9">
        <w:rPr>
          <w:bdr w:val="none" w:sz="0" w:space="0" w:color="auto" w:frame="1"/>
        </w:rPr>
        <w:t xml:space="preserve">(c) </w:t>
      </w:r>
      <w:r w:rsidR="00E94BC9">
        <w:rPr>
          <w:bdr w:val="none" w:sz="0" w:space="0" w:color="auto" w:frame="1"/>
        </w:rPr>
        <w:t>The</w:t>
      </w:r>
      <w:r w:rsidR="00E94BC9" w:rsidRPr="00FD72E9">
        <w:rPr>
          <w:bdr w:val="none" w:sz="0" w:space="0" w:color="auto" w:frame="1"/>
        </w:rPr>
        <w:t xml:space="preserve"> </w:t>
      </w:r>
      <w:r w:rsidRPr="00FD72E9">
        <w:rPr>
          <w:bdr w:val="none" w:sz="0" w:space="0" w:color="auto" w:frame="1"/>
        </w:rPr>
        <w:t xml:space="preserve">action may be commenced against a deceased cohabitant’s estate and adjudicated under law of this state applicable to </w:t>
      </w:r>
      <w:r w:rsidR="00E94BC9">
        <w:rPr>
          <w:bdr w:val="none" w:sz="0" w:space="0" w:color="auto" w:frame="1"/>
        </w:rPr>
        <w:t>a claim against a decedent’s estate.</w:t>
      </w:r>
    </w:p>
    <w:p w14:paraId="76CDB2B9" w14:textId="77777777" w:rsidR="00704641" w:rsidRPr="00FD72E9" w:rsidRDefault="00704641" w:rsidP="00AA137E">
      <w:pPr>
        <w:pStyle w:val="Heading1"/>
        <w:ind w:firstLine="720"/>
      </w:pPr>
      <w:bookmarkStart w:id="13" w:name="_Toc67055279"/>
      <w:bookmarkStart w:id="14" w:name="_Toc83988207"/>
      <w:bookmarkStart w:id="15" w:name="_Toc67055281"/>
      <w:bookmarkEnd w:id="11"/>
      <w:bookmarkEnd w:id="12"/>
      <w:r w:rsidRPr="00FD72E9">
        <w:t>Section 5. Governing Law</w:t>
      </w:r>
      <w:bookmarkEnd w:id="13"/>
      <w:bookmarkEnd w:id="14"/>
    </w:p>
    <w:p w14:paraId="4C4E6701" w14:textId="7E047FE3" w:rsidR="00704641" w:rsidRPr="00FD72E9" w:rsidRDefault="00704641" w:rsidP="002B1B80">
      <w:pPr>
        <w:widowControl w:val="0"/>
        <w:spacing w:line="480" w:lineRule="auto"/>
        <w:ind w:firstLine="720"/>
        <w:textAlignment w:val="baseline"/>
        <w:rPr>
          <w:szCs w:val="24"/>
        </w:rPr>
      </w:pPr>
      <w:r w:rsidRPr="00FD72E9">
        <w:rPr>
          <w:szCs w:val="24"/>
        </w:rPr>
        <w:t xml:space="preserve">(a) Except as otherwise provided in this [act], a claim under this [act] is governed by other law of this state, including </w:t>
      </w:r>
      <w:r w:rsidR="00E94BC9">
        <w:rPr>
          <w:szCs w:val="24"/>
        </w:rPr>
        <w:t xml:space="preserve">this state’s </w:t>
      </w:r>
      <w:r w:rsidRPr="00FD72E9">
        <w:rPr>
          <w:szCs w:val="24"/>
        </w:rPr>
        <w:t>choice-of-law rules.</w:t>
      </w:r>
    </w:p>
    <w:p w14:paraId="76D27EAE" w14:textId="77777777" w:rsidR="00704641" w:rsidRPr="00FD72E9" w:rsidRDefault="00704641" w:rsidP="002B1B80">
      <w:pPr>
        <w:widowControl w:val="0"/>
        <w:spacing w:line="480" w:lineRule="auto"/>
        <w:ind w:firstLine="720"/>
        <w:textAlignment w:val="baseline"/>
        <w:rPr>
          <w:szCs w:val="24"/>
        </w:rPr>
      </w:pPr>
      <w:r w:rsidRPr="00FD72E9">
        <w:rPr>
          <w:szCs w:val="24"/>
        </w:rPr>
        <w:t>(b) The validity, enforceability, interpretation, and construction of a cohabitants’ agreement are determined by:</w:t>
      </w:r>
    </w:p>
    <w:p w14:paraId="0452D9F1" w14:textId="3C25587C" w:rsidR="00704641" w:rsidRPr="00FD72E9" w:rsidRDefault="00704641" w:rsidP="002B1B80">
      <w:pPr>
        <w:widowControl w:val="0"/>
        <w:spacing w:line="480" w:lineRule="auto"/>
        <w:ind w:firstLine="720"/>
        <w:textAlignment w:val="baseline"/>
        <w:rPr>
          <w:szCs w:val="24"/>
        </w:rPr>
      </w:pPr>
      <w:r w:rsidRPr="00FD72E9">
        <w:rPr>
          <w:szCs w:val="24"/>
        </w:rPr>
        <w:tab/>
        <w:t xml:space="preserve">(1) the law of the state designated in the agreement if </w:t>
      </w:r>
      <w:r w:rsidR="00E94BC9">
        <w:rPr>
          <w:szCs w:val="24"/>
        </w:rPr>
        <w:t>the</w:t>
      </w:r>
      <w:r w:rsidR="00E94BC9" w:rsidRPr="00FD72E9">
        <w:rPr>
          <w:szCs w:val="24"/>
        </w:rPr>
        <w:t xml:space="preserve"> </w:t>
      </w:r>
      <w:r w:rsidRPr="00FD72E9">
        <w:rPr>
          <w:szCs w:val="24"/>
        </w:rPr>
        <w:t>designation is valid under other law of this state; or</w:t>
      </w:r>
    </w:p>
    <w:p w14:paraId="797FA86C" w14:textId="1855CECE" w:rsidR="00704641" w:rsidRPr="00FD72E9" w:rsidRDefault="00704641" w:rsidP="002B1B80">
      <w:pPr>
        <w:widowControl w:val="0"/>
        <w:spacing w:line="480" w:lineRule="auto"/>
        <w:ind w:firstLine="720"/>
        <w:textAlignment w:val="baseline"/>
        <w:rPr>
          <w:szCs w:val="24"/>
        </w:rPr>
      </w:pPr>
      <w:r w:rsidRPr="00FD72E9">
        <w:rPr>
          <w:szCs w:val="24"/>
        </w:rPr>
        <w:tab/>
        <w:t xml:space="preserve">(2) in the absence of </w:t>
      </w:r>
      <w:r w:rsidR="00E94BC9">
        <w:rPr>
          <w:szCs w:val="24"/>
        </w:rPr>
        <w:t>a</w:t>
      </w:r>
      <w:r w:rsidRPr="00FD72E9">
        <w:rPr>
          <w:szCs w:val="24"/>
        </w:rPr>
        <w:t xml:space="preserve"> designation </w:t>
      </w:r>
      <w:r w:rsidR="00E94BC9">
        <w:rPr>
          <w:szCs w:val="24"/>
        </w:rPr>
        <w:t xml:space="preserve">effective </w:t>
      </w:r>
      <w:r w:rsidRPr="00FD72E9">
        <w:rPr>
          <w:szCs w:val="24"/>
        </w:rPr>
        <w:t xml:space="preserve">under paragraph (1), the law of this state, including </w:t>
      </w:r>
      <w:r w:rsidR="00E94BC9">
        <w:rPr>
          <w:szCs w:val="24"/>
        </w:rPr>
        <w:t xml:space="preserve">this state’s </w:t>
      </w:r>
      <w:r w:rsidRPr="00FD72E9">
        <w:rPr>
          <w:szCs w:val="24"/>
        </w:rPr>
        <w:t>choice-of-law rules.</w:t>
      </w:r>
    </w:p>
    <w:p w14:paraId="08CBDD0A" w14:textId="77777777" w:rsidR="00704641" w:rsidRPr="00FD72E9" w:rsidRDefault="00704641" w:rsidP="002B1B80">
      <w:pPr>
        <w:pStyle w:val="Heading1"/>
        <w:keepNext w:val="0"/>
        <w:keepLines w:val="0"/>
        <w:ind w:firstLine="720"/>
        <w:rPr>
          <w:b w:val="0"/>
          <w:bCs w:val="0"/>
          <w:szCs w:val="24"/>
        </w:rPr>
      </w:pPr>
      <w:bookmarkStart w:id="16" w:name="_Toc83988208"/>
      <w:r w:rsidRPr="00FD72E9">
        <w:rPr>
          <w:szCs w:val="24"/>
        </w:rPr>
        <w:t>Section 6. Cohabitants</w:t>
      </w:r>
      <w:bookmarkEnd w:id="15"/>
      <w:r w:rsidRPr="00FD72E9">
        <w:rPr>
          <w:szCs w:val="24"/>
        </w:rPr>
        <w:t>’ Agreement</w:t>
      </w:r>
      <w:bookmarkEnd w:id="16"/>
    </w:p>
    <w:p w14:paraId="0FEB88A0" w14:textId="2B30092D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 xml:space="preserve">(a) </w:t>
      </w:r>
      <w:r w:rsidRPr="00FD72E9">
        <w:rPr>
          <w:szCs w:val="24"/>
          <w:shd w:val="clear" w:color="auto" w:fill="FFFFFF"/>
        </w:rPr>
        <w:t xml:space="preserve">A cohabitants’ agreement </w:t>
      </w:r>
      <w:bookmarkStart w:id="17" w:name="_Hlk71806713"/>
      <w:r w:rsidRPr="00FD72E9">
        <w:rPr>
          <w:szCs w:val="24"/>
          <w:shd w:val="clear" w:color="auto" w:fill="FFFFFF"/>
        </w:rPr>
        <w:t xml:space="preserve">may be </w:t>
      </w:r>
      <w:bookmarkStart w:id="18" w:name="_Hlk71816545"/>
      <w:r w:rsidR="007600BB">
        <w:rPr>
          <w:szCs w:val="24"/>
          <w:shd w:val="clear" w:color="auto" w:fill="FFFFFF"/>
        </w:rPr>
        <w:t>oral, in a record, express, or implied-in-fact.</w:t>
      </w:r>
    </w:p>
    <w:bookmarkEnd w:id="17"/>
    <w:bookmarkEnd w:id="18"/>
    <w:p w14:paraId="59E51A3F" w14:textId="77777777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>(b) Contributions to the relationship are sufficient consideration for a cohabitants’ agreement.</w:t>
      </w:r>
    </w:p>
    <w:p w14:paraId="452CBE99" w14:textId="1B6D6140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>(c) A claim for breach of a cohabitants’ agreement accrues on breach and may be commenced, subject to [cite to the applicable statute of limitations</w:t>
      </w:r>
      <w:r w:rsidR="007600BB">
        <w:rPr>
          <w:szCs w:val="24"/>
        </w:rPr>
        <w:t xml:space="preserve"> on contractual claims</w:t>
      </w:r>
      <w:r w:rsidRPr="00FD72E9">
        <w:rPr>
          <w:szCs w:val="24"/>
        </w:rPr>
        <w:t>], during cohabitation or after termination of cohabitation.</w:t>
      </w:r>
    </w:p>
    <w:p w14:paraId="6098DA02" w14:textId="77777777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>(d) A term in a cohabitants’ agreement that affects adversely a child’s right to support is unenforceable.</w:t>
      </w:r>
    </w:p>
    <w:p w14:paraId="62F0642D" w14:textId="0058D9D8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 xml:space="preserve">(e) A term in a cohabitants’ agreement that </w:t>
      </w:r>
      <w:r w:rsidR="007600BB">
        <w:rPr>
          <w:szCs w:val="24"/>
          <w:shd w:val="clear" w:color="auto" w:fill="FFFFFF"/>
        </w:rPr>
        <w:t xml:space="preserve">requires or </w:t>
      </w:r>
      <w:r w:rsidRPr="00FD72E9">
        <w:rPr>
          <w:szCs w:val="24"/>
          <w:shd w:val="clear" w:color="auto" w:fill="FFFFFF"/>
        </w:rPr>
        <w:t xml:space="preserve">limits the ability of </w:t>
      </w:r>
      <w:r w:rsidR="007600BB">
        <w:rPr>
          <w:szCs w:val="24"/>
          <w:shd w:val="clear" w:color="auto" w:fill="FFFFFF"/>
        </w:rPr>
        <w:t>a cohabitant</w:t>
      </w:r>
      <w:r w:rsidRPr="00FD72E9">
        <w:rPr>
          <w:szCs w:val="24"/>
          <w:shd w:val="clear" w:color="auto" w:fill="FFFFFF"/>
        </w:rPr>
        <w:t xml:space="preserve"> to </w:t>
      </w:r>
      <w:r w:rsidRPr="00FD72E9">
        <w:rPr>
          <w:szCs w:val="24"/>
          <w:shd w:val="clear" w:color="auto" w:fill="FFFFFF"/>
        </w:rPr>
        <w:lastRenderedPageBreak/>
        <w:t>pursue a civil, criminal, or administrative remedy is voidable to the extent the remedy is available because the cohabitant is a victim of a [crime of violence].</w:t>
      </w:r>
    </w:p>
    <w:p w14:paraId="23BE40C7" w14:textId="1A6A3688" w:rsidR="00704641" w:rsidRPr="00694F20" w:rsidRDefault="00704641" w:rsidP="003816D8">
      <w:pPr>
        <w:widowControl w:val="0"/>
        <w:rPr>
          <w:i/>
          <w:iCs/>
          <w:szCs w:val="24"/>
        </w:rPr>
      </w:pPr>
      <w:r w:rsidRPr="00FD72E9">
        <w:rPr>
          <w:b/>
          <w:bCs/>
          <w:i/>
          <w:iCs/>
          <w:szCs w:val="24"/>
        </w:rPr>
        <w:t>Legislative Note:</w:t>
      </w:r>
      <w:r w:rsidR="003816D8">
        <w:rPr>
          <w:b/>
          <w:bCs/>
          <w:i/>
          <w:iCs/>
          <w:szCs w:val="24"/>
        </w:rPr>
        <w:t xml:space="preserve"> </w:t>
      </w:r>
      <w:r w:rsidRPr="00694F20">
        <w:rPr>
          <w:i/>
          <w:iCs/>
          <w:szCs w:val="24"/>
        </w:rPr>
        <w:t>Subsection (e) should</w:t>
      </w:r>
      <w:r w:rsidR="007600BB" w:rsidRPr="00694F20">
        <w:rPr>
          <w:i/>
          <w:iCs/>
          <w:szCs w:val="24"/>
        </w:rPr>
        <w:t xml:space="preserve"> refer to a state’s</w:t>
      </w:r>
      <w:r w:rsidRPr="00694F20">
        <w:rPr>
          <w:i/>
          <w:iCs/>
          <w:szCs w:val="24"/>
        </w:rPr>
        <w:t xml:space="preserve"> statutory or judicial definition of “crime of </w:t>
      </w:r>
      <w:r w:rsidR="007600BB" w:rsidRPr="00694F20">
        <w:rPr>
          <w:i/>
          <w:iCs/>
          <w:szCs w:val="24"/>
        </w:rPr>
        <w:t>violence” or, in absence of a definition, cite to appropriate crimes.</w:t>
      </w:r>
    </w:p>
    <w:p w14:paraId="7CB2BEE1" w14:textId="77777777" w:rsidR="002B1B80" w:rsidRPr="001E6DEF" w:rsidRDefault="002B1B80" w:rsidP="002B1B80">
      <w:pPr>
        <w:widowControl w:val="0"/>
        <w:jc w:val="center"/>
        <w:rPr>
          <w:szCs w:val="24"/>
          <w:shd w:val="clear" w:color="auto" w:fill="FFFFFF"/>
        </w:rPr>
      </w:pPr>
      <w:bookmarkStart w:id="19" w:name="_Toc67055282"/>
    </w:p>
    <w:p w14:paraId="285BBB7C" w14:textId="77777777" w:rsidR="00704641" w:rsidRPr="00FD72E9" w:rsidRDefault="00704641" w:rsidP="002B1B80">
      <w:pPr>
        <w:pStyle w:val="Heading1"/>
        <w:keepNext w:val="0"/>
        <w:keepLines w:val="0"/>
        <w:ind w:firstLine="720"/>
        <w:rPr>
          <w:szCs w:val="24"/>
        </w:rPr>
      </w:pPr>
      <w:bookmarkStart w:id="20" w:name="_Toc83988209"/>
      <w:r w:rsidRPr="00FD72E9">
        <w:rPr>
          <w:szCs w:val="24"/>
        </w:rPr>
        <w:t>Section 7. Equitable Relief</w:t>
      </w:r>
      <w:bookmarkEnd w:id="19"/>
      <w:bookmarkEnd w:id="20"/>
    </w:p>
    <w:p w14:paraId="62344F46" w14:textId="2E0BEAEB" w:rsidR="00704641" w:rsidRPr="00FD72E9" w:rsidRDefault="00704641" w:rsidP="002B1B80">
      <w:pPr>
        <w:spacing w:line="480" w:lineRule="auto"/>
        <w:ind w:firstLine="720"/>
        <w:rPr>
          <w:rFonts w:eastAsia="Calibri"/>
          <w:szCs w:val="24"/>
        </w:rPr>
      </w:pPr>
      <w:r w:rsidRPr="00FD72E9">
        <w:rPr>
          <w:szCs w:val="24"/>
        </w:rPr>
        <w:t xml:space="preserve">(a) Unless </w:t>
      </w:r>
      <w:r w:rsidR="007600BB">
        <w:rPr>
          <w:szCs w:val="24"/>
        </w:rPr>
        <w:t xml:space="preserve">maintaining the action is </w:t>
      </w:r>
      <w:r w:rsidRPr="00FD72E9">
        <w:rPr>
          <w:szCs w:val="24"/>
        </w:rPr>
        <w:t xml:space="preserve">inconsistent with a valid </w:t>
      </w:r>
      <w:r w:rsidRPr="00FD72E9">
        <w:rPr>
          <w:rFonts w:eastAsia="Calibri"/>
          <w:szCs w:val="24"/>
        </w:rPr>
        <w:t xml:space="preserve">cohabitants’ </w:t>
      </w:r>
      <w:r w:rsidR="007600BB">
        <w:rPr>
          <w:rFonts w:eastAsia="Calibri"/>
          <w:szCs w:val="24"/>
        </w:rPr>
        <w:t>agreement,</w:t>
      </w:r>
      <w:r w:rsidRPr="00FD72E9">
        <w:rPr>
          <w:rFonts w:eastAsia="Calibri"/>
          <w:szCs w:val="24"/>
        </w:rPr>
        <w:t xml:space="preserve"> a cohabitant may </w:t>
      </w:r>
      <w:r w:rsidR="007600BB">
        <w:rPr>
          <w:rFonts w:eastAsia="Calibri"/>
          <w:szCs w:val="24"/>
        </w:rPr>
        <w:t>commence</w:t>
      </w:r>
      <w:r w:rsidR="007600BB" w:rsidRPr="00FD72E9">
        <w:rPr>
          <w:rFonts w:eastAsia="Calibri"/>
          <w:szCs w:val="24"/>
        </w:rPr>
        <w:t xml:space="preserve"> </w:t>
      </w:r>
      <w:r w:rsidRPr="00FD72E9">
        <w:rPr>
          <w:rFonts w:eastAsia="Calibri"/>
          <w:szCs w:val="24"/>
        </w:rPr>
        <w:t xml:space="preserve">an equitable action </w:t>
      </w:r>
      <w:r w:rsidR="007600BB">
        <w:rPr>
          <w:rFonts w:eastAsia="Calibri"/>
          <w:szCs w:val="24"/>
        </w:rPr>
        <w:t xml:space="preserve">against the other cohabitant </w:t>
      </w:r>
      <w:r w:rsidRPr="0046021F">
        <w:rPr>
          <w:rFonts w:eastAsia="Calibri"/>
          <w:szCs w:val="24"/>
        </w:rPr>
        <w:t>concerning entitlement to prop</w:t>
      </w:r>
      <w:r w:rsidRPr="00470063">
        <w:rPr>
          <w:rFonts w:eastAsia="Calibri"/>
          <w:szCs w:val="24"/>
        </w:rPr>
        <w:t xml:space="preserve">erty </w:t>
      </w:r>
      <w:r w:rsidRPr="00FD72E9">
        <w:rPr>
          <w:rFonts w:eastAsia="Calibri"/>
          <w:szCs w:val="24"/>
        </w:rPr>
        <w:t>based on contributions to the relationship.</w:t>
      </w:r>
      <w:r w:rsidR="000309B0">
        <w:rPr>
          <w:rFonts w:eastAsia="Calibri"/>
          <w:szCs w:val="24"/>
        </w:rPr>
        <w:t xml:space="preserve"> The action is in addition to any remedy otherwise available to the cohabitant under this [act] or other law. </w:t>
      </w:r>
    </w:p>
    <w:p w14:paraId="0BD2185C" w14:textId="46C8246F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 xml:space="preserve">(b) An equitable claim based on contributions to the relationship accrues on termination of cohabitation and is subject to equitable defenses. </w:t>
      </w:r>
    </w:p>
    <w:p w14:paraId="15FD326E" w14:textId="2A28A58A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>(c) In addition to other law governing an equitable claim, the court adjudicating a claim under this section shall consider:</w:t>
      </w:r>
    </w:p>
    <w:p w14:paraId="2D84517F" w14:textId="73BE57F8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</w:rPr>
        <w:tab/>
        <w:t xml:space="preserve">(1) the nature and value of </w:t>
      </w:r>
      <w:r w:rsidRPr="00FD72E9">
        <w:rPr>
          <w:szCs w:val="24"/>
          <w:shd w:val="clear" w:color="auto" w:fill="FFFFFF"/>
        </w:rPr>
        <w:t>contributions to the relationship by each cohabitant, including the value to each cohabitant and the market value of the contributions;</w:t>
      </w:r>
    </w:p>
    <w:p w14:paraId="48373D11" w14:textId="77777777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ab/>
        <w:t>(2) the duration and continuity of the cohabitation;</w:t>
      </w:r>
    </w:p>
    <w:p w14:paraId="0A2E9D68" w14:textId="7F55BF03" w:rsidR="00704641" w:rsidRPr="00FD72E9" w:rsidRDefault="00DB09A9" w:rsidP="002B1B80">
      <w:pPr>
        <w:widowControl w:val="0"/>
        <w:spacing w:line="480" w:lineRule="auto"/>
        <w:ind w:firstLine="720"/>
        <w:rPr>
          <w:szCs w:val="24"/>
        </w:rPr>
      </w:pPr>
      <w:r>
        <w:rPr>
          <w:szCs w:val="24"/>
        </w:rPr>
        <w:tab/>
      </w:r>
      <w:r w:rsidR="00704641" w:rsidRPr="00FD72E9">
        <w:rPr>
          <w:szCs w:val="24"/>
        </w:rPr>
        <w:t xml:space="preserve">(3) the extent to which a cohabitant reasonably relied on representations or conduct of the other cohabitant; </w:t>
      </w:r>
    </w:p>
    <w:p w14:paraId="3959454C" w14:textId="3632CF55" w:rsidR="00704641" w:rsidRPr="00FD72E9" w:rsidRDefault="00DB09A9" w:rsidP="00DB09A9">
      <w:pPr>
        <w:widowControl w:val="0"/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04641" w:rsidRPr="00FD72E9">
        <w:rPr>
          <w:szCs w:val="24"/>
        </w:rPr>
        <w:t>(4) the extent to which a cohabitant demonstrated an intent to share, or not to share, property with the other cohabitant; and</w:t>
      </w:r>
    </w:p>
    <w:p w14:paraId="30C43606" w14:textId="4A2FFD69" w:rsidR="00704641" w:rsidRPr="00FD72E9" w:rsidRDefault="00704641" w:rsidP="002B1B80">
      <w:pPr>
        <w:widowControl w:val="0"/>
        <w:spacing w:line="480" w:lineRule="auto"/>
        <w:ind w:left="720" w:firstLine="720"/>
        <w:rPr>
          <w:szCs w:val="24"/>
        </w:rPr>
      </w:pPr>
      <w:r w:rsidRPr="00FD72E9">
        <w:rPr>
          <w:szCs w:val="24"/>
        </w:rPr>
        <w:t xml:space="preserve">(5) other </w:t>
      </w:r>
      <w:r w:rsidR="007600BB">
        <w:rPr>
          <w:szCs w:val="24"/>
        </w:rPr>
        <w:t>relevant factors.</w:t>
      </w:r>
    </w:p>
    <w:p w14:paraId="5C17A74F" w14:textId="77777777" w:rsidR="00704641" w:rsidRPr="00FD72E9" w:rsidRDefault="00704641" w:rsidP="002B1B80">
      <w:pPr>
        <w:pStyle w:val="Heading1"/>
        <w:keepNext w:val="0"/>
        <w:keepLines w:val="0"/>
        <w:ind w:firstLine="720"/>
        <w:rPr>
          <w:szCs w:val="24"/>
          <w:lang w:bidi="he-IL"/>
        </w:rPr>
      </w:pPr>
      <w:bookmarkStart w:id="21" w:name="_Toc67055283"/>
      <w:bookmarkStart w:id="22" w:name="_Toc83988210"/>
      <w:r w:rsidRPr="00FD72E9">
        <w:rPr>
          <w:rFonts w:eastAsia="Calibri"/>
          <w:szCs w:val="24"/>
        </w:rPr>
        <w:t xml:space="preserve">Section 8. Effect of Court Order or Judgment on Third </w:t>
      </w:r>
      <w:bookmarkEnd w:id="21"/>
      <w:r w:rsidRPr="00FD72E9">
        <w:rPr>
          <w:rFonts w:eastAsia="Calibri"/>
          <w:szCs w:val="24"/>
        </w:rPr>
        <w:t>Party</w:t>
      </w:r>
      <w:bookmarkEnd w:id="22"/>
    </w:p>
    <w:p w14:paraId="127A69ED" w14:textId="70E24D27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lang w:bidi="he-IL"/>
        </w:rPr>
      </w:pPr>
      <w:r w:rsidRPr="00FD72E9">
        <w:rPr>
          <w:szCs w:val="24"/>
          <w:lang w:bidi="he-IL"/>
        </w:rPr>
        <w:t>(a) [Except as provided in subsection</w:t>
      </w:r>
      <w:r w:rsidR="008D1CEE">
        <w:rPr>
          <w:szCs w:val="24"/>
          <w:lang w:bidi="he-IL"/>
        </w:rPr>
        <w:t xml:space="preserve"> </w:t>
      </w:r>
      <w:r w:rsidRPr="00FD72E9">
        <w:rPr>
          <w:szCs w:val="24"/>
          <w:lang w:bidi="he-IL"/>
        </w:rPr>
        <w:t xml:space="preserve">(c), a][A] court order or judgment granting relief under this [act] against a cohabitant or a cohabitant’s estate is an order or judgment in favor of a </w:t>
      </w:r>
      <w:r w:rsidRPr="00FD72E9">
        <w:rPr>
          <w:szCs w:val="24"/>
          <w:lang w:bidi="he-IL"/>
        </w:rPr>
        <w:lastRenderedPageBreak/>
        <w:t>general creditor.</w:t>
      </w:r>
    </w:p>
    <w:p w14:paraId="7D3E75F8" w14:textId="77777777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lang w:bidi="he-IL"/>
        </w:rPr>
      </w:pPr>
      <w:r w:rsidRPr="00FD72E9">
        <w:rPr>
          <w:szCs w:val="24"/>
          <w:lang w:bidi="he-IL"/>
        </w:rPr>
        <w:t>(b) A court order or judgment granting relief under this [act] may not impair the rights of a good-faith purchaser from, or secured creditor of, a cohabitant.</w:t>
      </w:r>
    </w:p>
    <w:p w14:paraId="6040B93B" w14:textId="2A6B837F" w:rsidR="00704641" w:rsidRPr="00FD72E9" w:rsidRDefault="008D1CEE" w:rsidP="002B1B80">
      <w:pPr>
        <w:widowControl w:val="0"/>
        <w:spacing w:line="480" w:lineRule="auto"/>
        <w:jc w:val="center"/>
        <w:rPr>
          <w:b/>
          <w:bCs/>
          <w:szCs w:val="24"/>
          <w:lang w:bidi="he-IL"/>
        </w:rPr>
      </w:pPr>
      <w:r>
        <w:rPr>
          <w:b/>
          <w:bCs/>
          <w:szCs w:val="24"/>
          <w:lang w:bidi="he-IL"/>
        </w:rPr>
        <w:t>[</w:t>
      </w:r>
      <w:r w:rsidR="00704641" w:rsidRPr="00FD72E9">
        <w:rPr>
          <w:b/>
          <w:bCs/>
          <w:szCs w:val="24"/>
          <w:lang w:bidi="he-IL"/>
        </w:rPr>
        <w:t>Alternative A</w:t>
      </w:r>
    </w:p>
    <w:p w14:paraId="2E0EFC4E" w14:textId="6E05F921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 xml:space="preserve">(c) A court order or judgment granting relief under this [act] may not impair the </w:t>
      </w:r>
      <w:r w:rsidR="00BE26CE">
        <w:rPr>
          <w:szCs w:val="24"/>
          <w:shd w:val="clear" w:color="auto" w:fill="FFFFFF"/>
        </w:rPr>
        <w:t>right or interest</w:t>
      </w:r>
      <w:r w:rsidRPr="00FD72E9">
        <w:rPr>
          <w:szCs w:val="24"/>
          <w:shd w:val="clear" w:color="auto" w:fill="FFFFFF"/>
        </w:rPr>
        <w:t xml:space="preserve"> of a cohabitant’s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or surviving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>to the cohabitant’s property.</w:t>
      </w:r>
    </w:p>
    <w:p w14:paraId="0FF1F715" w14:textId="77777777" w:rsidR="00704641" w:rsidRPr="00FD72E9" w:rsidRDefault="00704641" w:rsidP="002B1B80">
      <w:pPr>
        <w:widowControl w:val="0"/>
        <w:spacing w:line="480" w:lineRule="auto"/>
        <w:jc w:val="center"/>
        <w:rPr>
          <w:b/>
          <w:bCs/>
          <w:szCs w:val="24"/>
          <w:shd w:val="clear" w:color="auto" w:fill="FFFFFF"/>
        </w:rPr>
      </w:pPr>
      <w:r w:rsidRPr="00FD72E9">
        <w:rPr>
          <w:b/>
          <w:bCs/>
          <w:szCs w:val="24"/>
          <w:shd w:val="clear" w:color="auto" w:fill="FFFFFF"/>
        </w:rPr>
        <w:t>Alternative B</w:t>
      </w:r>
    </w:p>
    <w:p w14:paraId="50A0A3B0" w14:textId="4E575A51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 xml:space="preserve">(c) A court order or judgment granting relief under this [act] may not impair the </w:t>
      </w:r>
      <w:r w:rsidR="00BE26CE">
        <w:rPr>
          <w:szCs w:val="24"/>
          <w:shd w:val="clear" w:color="auto" w:fill="FFFFFF"/>
        </w:rPr>
        <w:t>right or interest</w:t>
      </w:r>
      <w:r w:rsidRPr="00FD72E9">
        <w:rPr>
          <w:szCs w:val="24"/>
          <w:shd w:val="clear" w:color="auto" w:fill="FFFFFF"/>
        </w:rPr>
        <w:t xml:space="preserve"> of a cohabitant’s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or surviving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to the cohabitant’s </w:t>
      </w:r>
      <w:r w:rsidR="00BE26CE">
        <w:rPr>
          <w:szCs w:val="24"/>
          <w:shd w:val="clear" w:color="auto" w:fill="FFFFFF"/>
        </w:rPr>
        <w:t>property</w:t>
      </w:r>
      <w:r w:rsidRPr="00FD72E9">
        <w:rPr>
          <w:szCs w:val="24"/>
          <w:shd w:val="clear" w:color="auto" w:fill="FFFFFF"/>
        </w:rPr>
        <w:t xml:space="preserve"> unless:</w:t>
      </w:r>
    </w:p>
    <w:p w14:paraId="3DB48695" w14:textId="0830B03E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ab/>
        <w:t xml:space="preserve">(1) the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>had notice of the proceedings on the claim and an opportunity to be heard;</w:t>
      </w:r>
    </w:p>
    <w:p w14:paraId="519BCE55" w14:textId="2742B103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ab/>
        <w:t xml:space="preserve">(2) before entering </w:t>
      </w:r>
      <w:r w:rsidR="00BE26CE">
        <w:rPr>
          <w:szCs w:val="24"/>
          <w:shd w:val="clear" w:color="auto" w:fill="FFFFFF"/>
        </w:rPr>
        <w:t>the</w:t>
      </w:r>
      <w:r w:rsidR="00BE26C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order or </w:t>
      </w:r>
      <w:r w:rsidR="00BE26CE">
        <w:rPr>
          <w:szCs w:val="24"/>
          <w:shd w:val="clear" w:color="auto" w:fill="FFFFFF"/>
        </w:rPr>
        <w:t xml:space="preserve">judgment, the court determines </w:t>
      </w:r>
      <w:r w:rsidRPr="00FD72E9">
        <w:rPr>
          <w:szCs w:val="24"/>
          <w:shd w:val="clear" w:color="auto" w:fill="FFFFFF"/>
        </w:rPr>
        <w:t xml:space="preserve">based on the totality of the </w:t>
      </w:r>
      <w:r w:rsidR="00BE26CE">
        <w:rPr>
          <w:szCs w:val="24"/>
          <w:shd w:val="clear" w:color="auto" w:fill="FFFFFF"/>
        </w:rPr>
        <w:t xml:space="preserve">circumstances </w:t>
      </w:r>
      <w:r w:rsidRPr="00FD72E9">
        <w:rPr>
          <w:szCs w:val="24"/>
          <w:shd w:val="clear" w:color="auto" w:fill="FFFFFF"/>
        </w:rPr>
        <w:t>that justice requires that all or part of the cohabitant’s claim should be satisfied; and</w:t>
      </w:r>
    </w:p>
    <w:p w14:paraId="6147624D" w14:textId="448D8CBE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ab/>
        <w:t xml:space="preserve">(3) the order or judgment preserves as much of the </w:t>
      </w:r>
      <w:r w:rsidR="008D1CEE">
        <w:rPr>
          <w:szCs w:val="24"/>
          <w:shd w:val="clear" w:color="auto" w:fill="FFFFFF"/>
        </w:rPr>
        <w:t>[spouse’s]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>right or interest as appropriate or legally required.</w:t>
      </w:r>
    </w:p>
    <w:p w14:paraId="0A93127F" w14:textId="77777777" w:rsidR="00704641" w:rsidRPr="00FD72E9" w:rsidRDefault="00704641" w:rsidP="002B1B80">
      <w:pPr>
        <w:widowControl w:val="0"/>
        <w:spacing w:line="480" w:lineRule="auto"/>
        <w:jc w:val="center"/>
        <w:rPr>
          <w:b/>
          <w:bCs/>
          <w:szCs w:val="24"/>
          <w:shd w:val="clear" w:color="auto" w:fill="FFFFFF"/>
        </w:rPr>
      </w:pPr>
      <w:r w:rsidRPr="00FD72E9">
        <w:rPr>
          <w:b/>
          <w:bCs/>
          <w:szCs w:val="24"/>
          <w:shd w:val="clear" w:color="auto" w:fill="FFFFFF"/>
        </w:rPr>
        <w:t>Alternative C</w:t>
      </w:r>
    </w:p>
    <w:p w14:paraId="4739428A" w14:textId="0FE60991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 xml:space="preserve">(c) A court order or judgment granting relief based on an equitable claim under Section 7 may not impair the </w:t>
      </w:r>
      <w:r w:rsidR="00BE26CE">
        <w:rPr>
          <w:szCs w:val="24"/>
          <w:shd w:val="clear" w:color="auto" w:fill="FFFFFF"/>
        </w:rPr>
        <w:t>right or interest</w:t>
      </w:r>
      <w:r w:rsidRPr="00FD72E9">
        <w:rPr>
          <w:szCs w:val="24"/>
          <w:shd w:val="clear" w:color="auto" w:fill="FFFFFF"/>
        </w:rPr>
        <w:t xml:space="preserve"> of a cohabitant’s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or surviving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>to the cohabitant’s property.</w:t>
      </w:r>
    </w:p>
    <w:p w14:paraId="7ABA8F02" w14:textId="77777777" w:rsidR="00704641" w:rsidRPr="00FD72E9" w:rsidRDefault="00704641" w:rsidP="002B1B80">
      <w:pPr>
        <w:widowControl w:val="0"/>
        <w:spacing w:line="480" w:lineRule="auto"/>
        <w:jc w:val="center"/>
        <w:rPr>
          <w:b/>
          <w:bCs/>
          <w:szCs w:val="24"/>
          <w:shd w:val="clear" w:color="auto" w:fill="FFFFFF"/>
        </w:rPr>
      </w:pPr>
      <w:r w:rsidRPr="00FD72E9">
        <w:rPr>
          <w:b/>
          <w:bCs/>
          <w:szCs w:val="24"/>
          <w:shd w:val="clear" w:color="auto" w:fill="FFFFFF"/>
        </w:rPr>
        <w:t>Alternative D</w:t>
      </w:r>
    </w:p>
    <w:p w14:paraId="620D28A0" w14:textId="26475D77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 xml:space="preserve">(c) A court order or judgment granting relief based on an equitable claim under Section 7 may not impair the </w:t>
      </w:r>
      <w:r w:rsidR="00BE26CE">
        <w:rPr>
          <w:szCs w:val="24"/>
          <w:shd w:val="clear" w:color="auto" w:fill="FFFFFF"/>
        </w:rPr>
        <w:t>right or interest</w:t>
      </w:r>
      <w:r w:rsidRPr="00FD72E9">
        <w:rPr>
          <w:szCs w:val="24"/>
          <w:shd w:val="clear" w:color="auto" w:fill="FFFFFF"/>
        </w:rPr>
        <w:t xml:space="preserve"> of a cohabitant’s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or surviving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to the </w:t>
      </w:r>
      <w:r w:rsidRPr="00FD72E9">
        <w:rPr>
          <w:szCs w:val="24"/>
          <w:shd w:val="clear" w:color="auto" w:fill="FFFFFF"/>
        </w:rPr>
        <w:lastRenderedPageBreak/>
        <w:t xml:space="preserve">cohabitant’s </w:t>
      </w:r>
      <w:r w:rsidR="00BE26CE">
        <w:rPr>
          <w:szCs w:val="24"/>
          <w:shd w:val="clear" w:color="auto" w:fill="FFFFFF"/>
        </w:rPr>
        <w:t>property</w:t>
      </w:r>
      <w:r w:rsidRPr="00FD72E9">
        <w:rPr>
          <w:szCs w:val="24"/>
          <w:shd w:val="clear" w:color="auto" w:fill="FFFFFF"/>
        </w:rPr>
        <w:t> unless:</w:t>
      </w:r>
    </w:p>
    <w:p w14:paraId="2DDC675B" w14:textId="1AD966B0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ab/>
        <w:t xml:space="preserve">(1) the </w:t>
      </w:r>
      <w:r w:rsidR="008D1CEE">
        <w:rPr>
          <w:szCs w:val="24"/>
          <w:shd w:val="clear" w:color="auto" w:fill="FFFFFF"/>
        </w:rPr>
        <w:t>[spouse]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>had notice of the proceedings on the claim and an opportunity to be heard;</w:t>
      </w:r>
    </w:p>
    <w:p w14:paraId="7B75D0BE" w14:textId="44AB65C9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ab/>
        <w:t xml:space="preserve">(2) before entering </w:t>
      </w:r>
      <w:r w:rsidR="00BE26CE">
        <w:rPr>
          <w:szCs w:val="24"/>
          <w:shd w:val="clear" w:color="auto" w:fill="FFFFFF"/>
        </w:rPr>
        <w:t>the</w:t>
      </w:r>
      <w:r w:rsidR="00BE26C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 xml:space="preserve">order or </w:t>
      </w:r>
      <w:r w:rsidR="00BE26CE">
        <w:rPr>
          <w:szCs w:val="24"/>
          <w:shd w:val="clear" w:color="auto" w:fill="FFFFFF"/>
        </w:rPr>
        <w:t>judgment, the court determines</w:t>
      </w:r>
      <w:r w:rsidRPr="00FD72E9">
        <w:rPr>
          <w:szCs w:val="24"/>
          <w:shd w:val="clear" w:color="auto" w:fill="FFFFFF"/>
        </w:rPr>
        <w:t xml:space="preserve"> based on the totality of the </w:t>
      </w:r>
      <w:r w:rsidR="00BE26CE">
        <w:rPr>
          <w:szCs w:val="24"/>
          <w:shd w:val="clear" w:color="auto" w:fill="FFFFFF"/>
        </w:rPr>
        <w:t>circumstances</w:t>
      </w:r>
      <w:r w:rsidRPr="00FD72E9">
        <w:rPr>
          <w:szCs w:val="24"/>
          <w:shd w:val="clear" w:color="auto" w:fill="FFFFFF"/>
        </w:rPr>
        <w:t xml:space="preserve"> that justice requires that all or part of the cohabitant’s claim should be satisfied; and</w:t>
      </w:r>
    </w:p>
    <w:p w14:paraId="71D5FC2F" w14:textId="15C4B3DE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  <w:shd w:val="clear" w:color="auto" w:fill="FFFFFF"/>
        </w:rPr>
      </w:pPr>
      <w:r w:rsidRPr="00FD72E9">
        <w:rPr>
          <w:szCs w:val="24"/>
          <w:shd w:val="clear" w:color="auto" w:fill="FFFFFF"/>
        </w:rPr>
        <w:tab/>
        <w:t xml:space="preserve">(3) the order or judgment preserves as much of the </w:t>
      </w:r>
      <w:r w:rsidR="00683630">
        <w:rPr>
          <w:szCs w:val="24"/>
          <w:shd w:val="clear" w:color="auto" w:fill="FFFFFF"/>
        </w:rPr>
        <w:t>[</w:t>
      </w:r>
      <w:r w:rsidR="008D1CEE">
        <w:rPr>
          <w:szCs w:val="24"/>
          <w:shd w:val="clear" w:color="auto" w:fill="FFFFFF"/>
        </w:rPr>
        <w:t>spouse’s</w:t>
      </w:r>
      <w:r w:rsidR="00683630">
        <w:rPr>
          <w:szCs w:val="24"/>
          <w:shd w:val="clear" w:color="auto" w:fill="FFFFFF"/>
        </w:rPr>
        <w:t>]</w:t>
      </w:r>
      <w:r w:rsidR="008D1CEE" w:rsidRPr="00FD72E9">
        <w:rPr>
          <w:szCs w:val="24"/>
          <w:shd w:val="clear" w:color="auto" w:fill="FFFFFF"/>
        </w:rPr>
        <w:t xml:space="preserve"> </w:t>
      </w:r>
      <w:r w:rsidRPr="00FD72E9">
        <w:rPr>
          <w:szCs w:val="24"/>
          <w:shd w:val="clear" w:color="auto" w:fill="FFFFFF"/>
        </w:rPr>
        <w:t>right or interest as appropriate or legally required.</w:t>
      </w:r>
    </w:p>
    <w:p w14:paraId="39389E52" w14:textId="7AA81F63" w:rsidR="00704641" w:rsidRPr="00FD72E9" w:rsidRDefault="00704641" w:rsidP="002B1B80">
      <w:pPr>
        <w:widowControl w:val="0"/>
        <w:spacing w:line="480" w:lineRule="auto"/>
        <w:jc w:val="center"/>
        <w:rPr>
          <w:b/>
          <w:bCs/>
          <w:szCs w:val="24"/>
          <w:shd w:val="clear" w:color="auto" w:fill="FFFFFF"/>
        </w:rPr>
      </w:pPr>
      <w:r w:rsidRPr="00FD72E9">
        <w:rPr>
          <w:b/>
          <w:bCs/>
          <w:szCs w:val="24"/>
          <w:shd w:val="clear" w:color="auto" w:fill="FFFFFF"/>
        </w:rPr>
        <w:t>End of Alternatives</w:t>
      </w:r>
      <w:r w:rsidR="008D1CEE">
        <w:rPr>
          <w:b/>
          <w:bCs/>
          <w:szCs w:val="24"/>
          <w:shd w:val="clear" w:color="auto" w:fill="FFFFFF"/>
        </w:rPr>
        <w:t>]</w:t>
      </w:r>
    </w:p>
    <w:p w14:paraId="4C1E8462" w14:textId="2B2A3E2C" w:rsidR="00704641" w:rsidRPr="00FD72E9" w:rsidRDefault="00704641" w:rsidP="008D1CEE">
      <w:pPr>
        <w:widowControl w:val="0"/>
        <w:autoSpaceDE w:val="0"/>
        <w:autoSpaceDN w:val="0"/>
        <w:adjustRightInd w:val="0"/>
        <w:rPr>
          <w:rFonts w:eastAsia="Calibri"/>
          <w:i/>
          <w:iCs/>
          <w:szCs w:val="24"/>
        </w:rPr>
      </w:pPr>
      <w:r w:rsidRPr="00FD72E9">
        <w:rPr>
          <w:b/>
          <w:bCs/>
          <w:i/>
          <w:iCs/>
          <w:szCs w:val="24"/>
          <w:shd w:val="clear" w:color="auto" w:fill="FFFFFF"/>
        </w:rPr>
        <w:t>Legislative Note:</w:t>
      </w:r>
      <w:r w:rsidRPr="00FD72E9">
        <w:rPr>
          <w:i/>
          <w:iCs/>
          <w:szCs w:val="24"/>
          <w:shd w:val="clear" w:color="auto" w:fill="FFFFFF"/>
        </w:rPr>
        <w:t xml:space="preserve"> </w:t>
      </w:r>
      <w:r w:rsidRPr="00FD72E9">
        <w:rPr>
          <w:rFonts w:eastAsia="Calibri"/>
          <w:i/>
          <w:iCs/>
          <w:szCs w:val="24"/>
        </w:rPr>
        <w:t xml:space="preserve">This section provides five options for treating </w:t>
      </w:r>
      <w:r w:rsidR="00BE26CE">
        <w:rPr>
          <w:rFonts w:eastAsia="Calibri"/>
          <w:i/>
          <w:iCs/>
          <w:szCs w:val="24"/>
        </w:rPr>
        <w:t>a claim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>of a spouse and a cohabitant to a married cohabitant’s property:</w:t>
      </w:r>
    </w:p>
    <w:p w14:paraId="49C98036" w14:textId="7777777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i/>
          <w:iCs/>
          <w:szCs w:val="24"/>
        </w:rPr>
      </w:pPr>
    </w:p>
    <w:p w14:paraId="524884F0" w14:textId="67FDCEBC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  <w:bookmarkStart w:id="23" w:name="co_anchor_I3B27DFB63EAE11E7ADDCA5733632C"/>
      <w:bookmarkStart w:id="24" w:name="coid_effectiveDateBlock_1"/>
      <w:bookmarkStart w:id="25" w:name="co_anchor_I280838E0EB1D11DE90DD8A1CBE416"/>
      <w:bookmarkStart w:id="26" w:name="co_anchor_I3B287BF03EAE11E7ADDCA5733632C"/>
      <w:bookmarkStart w:id="27" w:name="co_pp_f1c50000821b0_1"/>
      <w:bookmarkStart w:id="28" w:name="co_anchor_I64ADC590E66711E887D48B8D3FDE6"/>
      <w:bookmarkStart w:id="29" w:name="co_anchor_I3B287BFF3EAE11E7ADDCA5733632C"/>
      <w:bookmarkStart w:id="30" w:name="co_anchor_I3B287C003EAE11E7ADDCA5733632C"/>
      <w:bookmarkStart w:id="31" w:name="co_anchor_I3B287C013EAE11E7ADDCA5733632C"/>
      <w:bookmarkStart w:id="32" w:name="co_anchor_I64B36AE0E66711E887D48B8D3FDE6"/>
      <w:bookmarkStart w:id="33" w:name="co_anchor_I64BCE0C0E66711E887D48B8D3FDE6"/>
      <w:bookmarkStart w:id="34" w:name="co_anchor_I3B287C223EAE11E7ADDCA5733632C"/>
      <w:bookmarkStart w:id="35" w:name="co_anchor_I64C4A8F0E66711E887D48B8D3FDE6"/>
      <w:bookmarkStart w:id="36" w:name="co_anchor_I508C5D7778EE11DFAD21E07C4140B"/>
      <w:bookmarkStart w:id="37" w:name="co_pp_58730000872b1_1"/>
      <w:bookmarkStart w:id="38" w:name="co_anchor_I508C5D7878EE11DFAD21E07C4140B"/>
      <w:bookmarkStart w:id="39" w:name="co_pp_d08f0000f5f67_1"/>
      <w:bookmarkStart w:id="40" w:name="co_anchor_I508C846078EE11DFAD21E07C4140B"/>
      <w:bookmarkStart w:id="41" w:name="co_pp_0bd500007a412_1"/>
      <w:bookmarkStart w:id="42" w:name="co_anchor_Credits_1"/>
      <w:bookmarkStart w:id="43" w:name="_Toc336855860"/>
      <w:bookmarkStart w:id="44" w:name="_Toc4648310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FD72E9">
        <w:rPr>
          <w:rFonts w:eastAsia="Calibri"/>
          <w:i/>
          <w:iCs/>
          <w:szCs w:val="24"/>
        </w:rPr>
        <w:t xml:space="preserve">(1) A state that </w:t>
      </w:r>
      <w:r w:rsidR="00BE26CE">
        <w:rPr>
          <w:rFonts w:eastAsia="Calibri"/>
          <w:i/>
          <w:iCs/>
          <w:szCs w:val="24"/>
        </w:rPr>
        <w:t>chooses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>to treat a cohabitant’s claim as a general creditor’s claim in all cases should adopt only subsections (a) and (b) and not adopt any of the alternatives for subsection (c).</w:t>
      </w:r>
    </w:p>
    <w:p w14:paraId="4320C58D" w14:textId="7777777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</w:p>
    <w:p w14:paraId="5B478E4F" w14:textId="0EF1024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  <w:r w:rsidRPr="00FD72E9">
        <w:rPr>
          <w:rFonts w:eastAsia="Calibri"/>
          <w:i/>
          <w:iCs/>
          <w:szCs w:val="24"/>
        </w:rPr>
        <w:t xml:space="preserve">(2) A state that </w:t>
      </w:r>
      <w:r w:rsidR="00BE26CE">
        <w:rPr>
          <w:rFonts w:eastAsia="Calibri"/>
          <w:i/>
          <w:iCs/>
          <w:szCs w:val="24"/>
        </w:rPr>
        <w:t>chooses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>to insulate a spouse from both contractual and equitable claims of a cohabitant should adopt Alternative A.</w:t>
      </w:r>
    </w:p>
    <w:p w14:paraId="632B4F9A" w14:textId="7777777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</w:p>
    <w:p w14:paraId="0F99BE29" w14:textId="4EF11A8F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  <w:r w:rsidRPr="00FD72E9">
        <w:rPr>
          <w:rFonts w:eastAsia="Calibri"/>
          <w:i/>
          <w:iCs/>
          <w:szCs w:val="24"/>
        </w:rPr>
        <w:t xml:space="preserve">(3) A state that </w:t>
      </w:r>
      <w:r w:rsidR="00BE26CE">
        <w:rPr>
          <w:rFonts w:eastAsia="Calibri"/>
          <w:i/>
          <w:iCs/>
          <w:szCs w:val="24"/>
        </w:rPr>
        <w:t>chooses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 xml:space="preserve">to insulate a spouse from both contractual and equitable claims of a cohabitant but allow a court under certain circumstances to find that justice requires at least some satisfaction of the cohabitant’s </w:t>
      </w:r>
      <w:r w:rsidR="00BE26CE">
        <w:rPr>
          <w:rFonts w:eastAsia="Calibri"/>
          <w:i/>
          <w:iCs/>
          <w:szCs w:val="24"/>
        </w:rPr>
        <w:t>claim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>against a married cohabitant should adopt Alternative B.</w:t>
      </w:r>
    </w:p>
    <w:p w14:paraId="1820DE00" w14:textId="7777777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</w:p>
    <w:p w14:paraId="3FF154D5" w14:textId="1294C5B4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  <w:r w:rsidRPr="00FD72E9">
        <w:rPr>
          <w:rFonts w:eastAsia="Calibri"/>
          <w:i/>
          <w:iCs/>
          <w:szCs w:val="24"/>
        </w:rPr>
        <w:t xml:space="preserve">(4) A state that </w:t>
      </w:r>
      <w:r w:rsidR="00BE26CE">
        <w:rPr>
          <w:rFonts w:eastAsia="Calibri"/>
          <w:i/>
          <w:iCs/>
          <w:szCs w:val="24"/>
        </w:rPr>
        <w:t>chooses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>to treat a cohabitant’s contractual claim as a general creditor’s claim and insulate a spouse only from an equitable claim under Section 7 should adopt Alternative C.</w:t>
      </w:r>
    </w:p>
    <w:p w14:paraId="28503703" w14:textId="7777777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</w:p>
    <w:p w14:paraId="285B3A72" w14:textId="5C1A83E1" w:rsidR="00704641" w:rsidRDefault="00704641" w:rsidP="00704641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  <w:r w:rsidRPr="00FD72E9">
        <w:rPr>
          <w:rFonts w:eastAsia="Calibri"/>
          <w:i/>
          <w:iCs/>
          <w:szCs w:val="24"/>
        </w:rPr>
        <w:t xml:space="preserve">(5) A state that </w:t>
      </w:r>
      <w:r w:rsidR="00BE26CE">
        <w:rPr>
          <w:rFonts w:eastAsia="Calibri"/>
          <w:i/>
          <w:iCs/>
          <w:szCs w:val="24"/>
        </w:rPr>
        <w:t>chooses</w:t>
      </w:r>
      <w:r w:rsidR="00BE26CE" w:rsidRPr="00FD72E9">
        <w:rPr>
          <w:rFonts w:eastAsia="Calibri"/>
          <w:i/>
          <w:iCs/>
          <w:szCs w:val="24"/>
        </w:rPr>
        <w:t xml:space="preserve"> </w:t>
      </w:r>
      <w:r w:rsidRPr="00FD72E9">
        <w:rPr>
          <w:rFonts w:eastAsia="Calibri"/>
          <w:i/>
          <w:iCs/>
          <w:szCs w:val="24"/>
        </w:rPr>
        <w:t>to treat a cohabitant’s contractual claim as a general creditor’s claim and allow a court under certain circumstances to find that justice requires some satisfaction of the cohabitant’s equitable claim under Section 7 against a married cohabitant should adopt Alternative D.</w:t>
      </w:r>
    </w:p>
    <w:p w14:paraId="4EDDDE69" w14:textId="080333AB" w:rsidR="00704641" w:rsidRDefault="00704641" w:rsidP="008D1CEE">
      <w:pPr>
        <w:widowControl w:val="0"/>
        <w:autoSpaceDE w:val="0"/>
        <w:autoSpaceDN w:val="0"/>
        <w:adjustRightInd w:val="0"/>
        <w:rPr>
          <w:rFonts w:eastAsia="Calibri"/>
          <w:i/>
          <w:iCs/>
          <w:szCs w:val="24"/>
        </w:rPr>
      </w:pPr>
    </w:p>
    <w:p w14:paraId="7DE1D6B2" w14:textId="653B5E3B" w:rsidR="008D1CEE" w:rsidRDefault="008D1CEE" w:rsidP="00694F20">
      <w:pPr>
        <w:widowControl w:val="0"/>
        <w:autoSpaceDE w:val="0"/>
        <w:autoSpaceDN w:val="0"/>
        <w:adjustRightInd w:val="0"/>
        <w:rPr>
          <w:rFonts w:eastAsia="Calibri"/>
          <w:i/>
          <w:iCs/>
          <w:szCs w:val="24"/>
        </w:rPr>
      </w:pPr>
      <w:r>
        <w:rPr>
          <w:i/>
          <w:iCs/>
          <w:szCs w:val="24"/>
          <w:shd w:val="clear" w:color="auto" w:fill="FFFFFF"/>
        </w:rPr>
        <w:t>If a state’s law provides that individuals in a civil union or domestic partnership have a right comparable to individuals in a marriage, the state should insert the appropriate terms in addition to “spouse”.</w:t>
      </w:r>
    </w:p>
    <w:p w14:paraId="37DF5C14" w14:textId="77777777" w:rsidR="00283788" w:rsidRPr="00FD72E9" w:rsidRDefault="00283788" w:rsidP="00B2269A">
      <w:pPr>
        <w:widowControl w:val="0"/>
        <w:autoSpaceDE w:val="0"/>
        <w:autoSpaceDN w:val="0"/>
        <w:adjustRightInd w:val="0"/>
        <w:ind w:firstLine="720"/>
        <w:rPr>
          <w:rFonts w:eastAsia="Calibri"/>
          <w:i/>
          <w:iCs/>
          <w:szCs w:val="24"/>
        </w:rPr>
      </w:pPr>
    </w:p>
    <w:p w14:paraId="04EEC6BD" w14:textId="77777777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rStyle w:val="Heading1Char"/>
          <w:rFonts w:eastAsia="Calibri"/>
          <w:szCs w:val="24"/>
        </w:rPr>
      </w:pPr>
      <w:bookmarkStart w:id="45" w:name="_Toc83988211"/>
      <w:bookmarkStart w:id="46" w:name="_Toc67055284"/>
      <w:r w:rsidRPr="00FD72E9">
        <w:rPr>
          <w:rStyle w:val="Heading1Char"/>
          <w:rFonts w:eastAsia="Calibri"/>
          <w:szCs w:val="24"/>
        </w:rPr>
        <w:lastRenderedPageBreak/>
        <w:t>Section 9. Principles of Law and Equity</w:t>
      </w:r>
      <w:bookmarkEnd w:id="45"/>
    </w:p>
    <w:p w14:paraId="574AF269" w14:textId="77777777" w:rsidR="00704641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bookmarkStart w:id="47" w:name="_Toc71696417"/>
      <w:r w:rsidRPr="00FD72E9">
        <w:rPr>
          <w:rFonts w:eastAsia="Calibri"/>
          <w:szCs w:val="24"/>
        </w:rPr>
        <w:t>The principles of law and equity supplement this [act] except to the extent inconsistent with this [act].</w:t>
      </w:r>
      <w:bookmarkEnd w:id="47"/>
    </w:p>
    <w:p w14:paraId="22B58FDF" w14:textId="77777777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b/>
          <w:bCs/>
          <w:szCs w:val="24"/>
        </w:rPr>
      </w:pPr>
      <w:bookmarkStart w:id="48" w:name="_Toc83988212"/>
      <w:r w:rsidRPr="00FD72E9">
        <w:rPr>
          <w:rStyle w:val="Heading1Char"/>
          <w:rFonts w:eastAsia="Calibri"/>
          <w:szCs w:val="24"/>
        </w:rPr>
        <w:t>Section 10. Uniformity of Application and Construction</w:t>
      </w:r>
      <w:bookmarkEnd w:id="43"/>
      <w:bookmarkEnd w:id="44"/>
      <w:bookmarkEnd w:id="46"/>
      <w:bookmarkEnd w:id="48"/>
    </w:p>
    <w:p w14:paraId="2A5D23C6" w14:textId="77777777" w:rsidR="00704641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="Calibri"/>
          <w:szCs w:val="24"/>
        </w:rPr>
      </w:pPr>
      <w:bookmarkStart w:id="49" w:name="_Hlk71696538"/>
      <w:r w:rsidRPr="00FD72E9">
        <w:rPr>
          <w:rFonts w:eastAsia="Calibri"/>
          <w:szCs w:val="24"/>
        </w:rPr>
        <w:t>In applying and construing this uniform act, a court shall consider the promotion of uniformity of the law among jurisdictions that enact it.</w:t>
      </w:r>
    </w:p>
    <w:p w14:paraId="67307E57" w14:textId="77777777" w:rsidR="00704641" w:rsidRPr="00FD72E9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szCs w:val="24"/>
        </w:rPr>
      </w:pPr>
      <w:bookmarkStart w:id="50" w:name="_Toc67055285"/>
      <w:bookmarkStart w:id="51" w:name="_Toc83988213"/>
      <w:bookmarkEnd w:id="49"/>
      <w:r w:rsidRPr="00FD72E9">
        <w:rPr>
          <w:rStyle w:val="Heading1Char"/>
          <w:szCs w:val="24"/>
        </w:rPr>
        <w:t>Section 11. Relation to Electronic Signatures in Global and National Commerce Act</w:t>
      </w:r>
      <w:bookmarkEnd w:id="50"/>
      <w:bookmarkEnd w:id="51"/>
    </w:p>
    <w:p w14:paraId="4A6BAC84" w14:textId="77777777" w:rsidR="00704641" w:rsidRDefault="00704641" w:rsidP="002B1B80">
      <w:pPr>
        <w:widowControl w:val="0"/>
        <w:autoSpaceDE w:val="0"/>
        <w:autoSpaceDN w:val="0"/>
        <w:adjustRightInd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>This [act] modifies, limits, or supersedes the Electronic Signatures in Global and National Commerce Act, 15 U.S.C. Section 7001 et seq.[, as amended], but does not modify, limit, or supersede 15 U.S.C. Section 7001(c), or authorize electronic delivery of any of the notices described in 15 U.S.C. Section 7003(b).</w:t>
      </w:r>
    </w:p>
    <w:p w14:paraId="0FCAB6E7" w14:textId="77777777" w:rsidR="00704641" w:rsidRPr="00FD72E9" w:rsidRDefault="00704641" w:rsidP="002B1B80">
      <w:pPr>
        <w:rPr>
          <w:i/>
          <w:iCs/>
          <w:szCs w:val="24"/>
        </w:rPr>
      </w:pPr>
      <w:r w:rsidRPr="00FD72E9">
        <w:rPr>
          <w:b/>
          <w:bCs/>
          <w:i/>
          <w:iCs/>
          <w:szCs w:val="24"/>
        </w:rPr>
        <w:t>Legislative Note:</w:t>
      </w:r>
      <w:r w:rsidRPr="00FD72E9">
        <w:rPr>
          <w:i/>
          <w:iCs/>
          <w:szCs w:val="24"/>
        </w:rPr>
        <w:t xml:space="preserve"> It is the intent of this act to incorporate future amendments to the cited federal law. A state in which the constitution or other law does not permit incorporation of future amendments when a federal statute is incorporated into state law should omit the phrase “, as amended”. A state in which, in the absence of a legislative declaration, future amendments are incorporated into state law also should omit the phrase.</w:t>
      </w:r>
      <w:bookmarkStart w:id="52" w:name="_Toc46483103"/>
      <w:bookmarkStart w:id="53" w:name="_Toc67055286"/>
    </w:p>
    <w:p w14:paraId="6ED77323" w14:textId="77777777" w:rsidR="00704641" w:rsidRPr="00FD72E9" w:rsidRDefault="00704641" w:rsidP="00704641">
      <w:pPr>
        <w:ind w:firstLine="720"/>
        <w:rPr>
          <w:rFonts w:eastAsia="Calibri"/>
          <w:szCs w:val="24"/>
        </w:rPr>
      </w:pPr>
    </w:p>
    <w:p w14:paraId="5A6900E5" w14:textId="77777777" w:rsidR="00704641" w:rsidRPr="00FD72E9" w:rsidRDefault="00704641" w:rsidP="002B1B80">
      <w:pPr>
        <w:pStyle w:val="Heading1"/>
        <w:keepNext w:val="0"/>
        <w:keepLines w:val="0"/>
        <w:ind w:firstLine="720"/>
        <w:rPr>
          <w:rFonts w:eastAsia="Calibri"/>
          <w:szCs w:val="24"/>
        </w:rPr>
      </w:pPr>
      <w:bookmarkStart w:id="54" w:name="_Toc83988214"/>
      <w:r w:rsidRPr="00FD72E9">
        <w:rPr>
          <w:rFonts w:eastAsia="Calibri"/>
          <w:szCs w:val="24"/>
        </w:rPr>
        <w:t>Section 12. Transitional Provisions</w:t>
      </w:r>
      <w:bookmarkEnd w:id="52"/>
      <w:bookmarkEnd w:id="53"/>
      <w:bookmarkEnd w:id="54"/>
    </w:p>
    <w:p w14:paraId="095442B6" w14:textId="2D15952A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 xml:space="preserve">(a) This [act] applies to a cohabitants’ agreement made </w:t>
      </w:r>
      <w:r w:rsidR="00806927">
        <w:rPr>
          <w:szCs w:val="24"/>
        </w:rPr>
        <w:t>[before,] on[,]</w:t>
      </w:r>
      <w:r w:rsidRPr="00FD72E9">
        <w:rPr>
          <w:szCs w:val="24"/>
        </w:rPr>
        <w:t xml:space="preserve"> or after [the effective date of this [act]].</w:t>
      </w:r>
    </w:p>
    <w:p w14:paraId="008FFAB7" w14:textId="30083683" w:rsidR="00704641" w:rsidRPr="00FD72E9" w:rsidRDefault="00704641" w:rsidP="002B1B80">
      <w:pPr>
        <w:widowControl w:val="0"/>
        <w:spacing w:line="480" w:lineRule="auto"/>
        <w:ind w:firstLine="720"/>
        <w:rPr>
          <w:szCs w:val="24"/>
        </w:rPr>
      </w:pPr>
      <w:r w:rsidRPr="00FD72E9">
        <w:rPr>
          <w:szCs w:val="24"/>
        </w:rPr>
        <w:t xml:space="preserve">(b) This [act] applies to an equitable claim under this [act] that accrues </w:t>
      </w:r>
      <w:r w:rsidR="00806927">
        <w:rPr>
          <w:szCs w:val="24"/>
        </w:rPr>
        <w:t>[before,] on[,]</w:t>
      </w:r>
      <w:r w:rsidRPr="00FD72E9">
        <w:rPr>
          <w:szCs w:val="24"/>
        </w:rPr>
        <w:t xml:space="preserve"> or after [the effective date of this [act]].</w:t>
      </w:r>
    </w:p>
    <w:p w14:paraId="2E91F39B" w14:textId="462019A7" w:rsidR="00704641" w:rsidRPr="00FD72E9" w:rsidRDefault="00704641" w:rsidP="002B1B80">
      <w:pPr>
        <w:widowControl w:val="0"/>
        <w:autoSpaceDE w:val="0"/>
        <w:autoSpaceDN w:val="0"/>
        <w:adjustRightInd w:val="0"/>
        <w:rPr>
          <w:i/>
          <w:iCs/>
          <w:szCs w:val="24"/>
        </w:rPr>
      </w:pPr>
      <w:r w:rsidRPr="00FD72E9">
        <w:rPr>
          <w:b/>
          <w:bCs/>
          <w:i/>
          <w:iCs/>
          <w:szCs w:val="24"/>
        </w:rPr>
        <w:t>Legislative Note:</w:t>
      </w:r>
      <w:r w:rsidRPr="00FD72E9">
        <w:rPr>
          <w:i/>
          <w:iCs/>
          <w:szCs w:val="24"/>
        </w:rPr>
        <w:t xml:space="preserve"> A state that previously has not recognized a claim between cohabitants based on contract or in equity arising from contributions to their relationship may </w:t>
      </w:r>
      <w:r w:rsidR="00806927">
        <w:rPr>
          <w:i/>
          <w:iCs/>
          <w:szCs w:val="24"/>
        </w:rPr>
        <w:t>choose</w:t>
      </w:r>
      <w:r w:rsidR="00806927" w:rsidRPr="00FD72E9">
        <w:rPr>
          <w:i/>
          <w:iCs/>
          <w:szCs w:val="24"/>
        </w:rPr>
        <w:t xml:space="preserve"> </w:t>
      </w:r>
      <w:r w:rsidRPr="00FD72E9">
        <w:rPr>
          <w:i/>
          <w:iCs/>
          <w:szCs w:val="24"/>
        </w:rPr>
        <w:t>to apply this act only to a claim that accrues on or after the effective date.</w:t>
      </w:r>
    </w:p>
    <w:p w14:paraId="303B52D5" w14:textId="77777777" w:rsidR="00704641" w:rsidRPr="00FD72E9" w:rsidRDefault="00704641" w:rsidP="00704641">
      <w:pPr>
        <w:widowControl w:val="0"/>
        <w:autoSpaceDE w:val="0"/>
        <w:autoSpaceDN w:val="0"/>
        <w:adjustRightInd w:val="0"/>
        <w:ind w:firstLine="720"/>
        <w:rPr>
          <w:i/>
          <w:iCs/>
          <w:szCs w:val="24"/>
        </w:rPr>
      </w:pPr>
    </w:p>
    <w:p w14:paraId="6B20AC46" w14:textId="6257ECCC" w:rsidR="000826F7" w:rsidRPr="000826F7" w:rsidRDefault="00E07540" w:rsidP="00E07540">
      <w:pPr>
        <w:pStyle w:val="Heading1"/>
      </w:pPr>
      <w:bookmarkStart w:id="55" w:name="_Toc75964702"/>
      <w:r>
        <w:tab/>
      </w:r>
      <w:bookmarkStart w:id="56" w:name="_Toc83988215"/>
      <w:r w:rsidR="000826F7" w:rsidRPr="000826F7">
        <w:t xml:space="preserve">[Section </w:t>
      </w:r>
      <w:r w:rsidR="00810AFB">
        <w:t>13</w:t>
      </w:r>
      <w:r w:rsidR="000826F7" w:rsidRPr="000826F7">
        <w:t>. Severability</w:t>
      </w:r>
      <w:bookmarkEnd w:id="55"/>
      <w:bookmarkEnd w:id="56"/>
    </w:p>
    <w:p w14:paraId="7DFB77BD" w14:textId="414F6D5E" w:rsidR="000826F7" w:rsidRPr="000826F7" w:rsidRDefault="000826F7" w:rsidP="00694F20">
      <w:pPr>
        <w:widowControl w:val="0"/>
        <w:spacing w:line="480" w:lineRule="auto"/>
        <w:ind w:firstLine="720"/>
        <w:rPr>
          <w:szCs w:val="24"/>
        </w:rPr>
      </w:pPr>
      <w:r w:rsidRPr="000826F7">
        <w:rPr>
          <w:szCs w:val="24"/>
        </w:rPr>
        <w:t xml:space="preserve">If a provision of this [act] or its application to a person or circumstance is held invalid, </w:t>
      </w:r>
      <w:r w:rsidRPr="000826F7">
        <w:rPr>
          <w:szCs w:val="24"/>
        </w:rPr>
        <w:lastRenderedPageBreak/>
        <w:t>the invalidity does not affect another provision or application that can be given effect without the invalid provision.]</w:t>
      </w:r>
    </w:p>
    <w:p w14:paraId="332D79B5" w14:textId="77777777" w:rsidR="000826F7" w:rsidRPr="000826F7" w:rsidRDefault="000826F7" w:rsidP="000826F7">
      <w:pPr>
        <w:widowControl w:val="0"/>
        <w:rPr>
          <w:i/>
          <w:iCs/>
          <w:szCs w:val="24"/>
        </w:rPr>
      </w:pPr>
      <w:r w:rsidRPr="000826F7">
        <w:rPr>
          <w:b/>
          <w:bCs/>
          <w:i/>
          <w:iCs/>
          <w:szCs w:val="24"/>
        </w:rPr>
        <w:t>Legislative Note:</w:t>
      </w:r>
      <w:r w:rsidRPr="000826F7">
        <w:rPr>
          <w:i/>
          <w:iCs/>
          <w:szCs w:val="24"/>
        </w:rPr>
        <w:t xml:space="preserve"> Include this section only if the state lacks a general severability statute or a decision by the highest court of the state adopting a general rule of severability.</w:t>
      </w:r>
    </w:p>
    <w:p w14:paraId="38802F88" w14:textId="77777777" w:rsidR="00810AFB" w:rsidRDefault="00810AFB" w:rsidP="00694F20">
      <w:pPr>
        <w:widowControl w:val="0"/>
        <w:rPr>
          <w:szCs w:val="24"/>
        </w:rPr>
      </w:pPr>
    </w:p>
    <w:p w14:paraId="71899B7D" w14:textId="6551A285" w:rsidR="002B1B80" w:rsidRDefault="00704641" w:rsidP="002B1B80">
      <w:pPr>
        <w:pStyle w:val="Heading1"/>
        <w:keepNext w:val="0"/>
        <w:keepLines w:val="0"/>
        <w:ind w:firstLine="720"/>
        <w:rPr>
          <w:szCs w:val="24"/>
        </w:rPr>
      </w:pPr>
      <w:bookmarkStart w:id="57" w:name="_Toc83988216"/>
      <w:r w:rsidRPr="00427D13">
        <w:rPr>
          <w:szCs w:val="24"/>
        </w:rPr>
        <w:t xml:space="preserve">[Section </w:t>
      </w:r>
      <w:r w:rsidR="00810AFB">
        <w:rPr>
          <w:szCs w:val="24"/>
        </w:rPr>
        <w:t>14.</w:t>
      </w:r>
      <w:r w:rsidRPr="00427D13">
        <w:rPr>
          <w:szCs w:val="24"/>
        </w:rPr>
        <w:t xml:space="preserve"> Repeals; Conforming Amendments</w:t>
      </w:r>
      <w:bookmarkEnd w:id="57"/>
    </w:p>
    <w:p w14:paraId="243DB768" w14:textId="77777777" w:rsidR="002B1B80" w:rsidRPr="002B1B80" w:rsidRDefault="00704641" w:rsidP="00AA137E">
      <w:pPr>
        <w:spacing w:line="480" w:lineRule="auto"/>
        <w:ind w:firstLine="720"/>
      </w:pPr>
      <w:r w:rsidRPr="002B1B80">
        <w:t xml:space="preserve">(a) . . . </w:t>
      </w:r>
    </w:p>
    <w:p w14:paraId="48BFD2E8" w14:textId="0B06F04F" w:rsidR="00704641" w:rsidRPr="002B1B80" w:rsidRDefault="00704641" w:rsidP="00AA137E">
      <w:pPr>
        <w:spacing w:line="480" w:lineRule="auto"/>
        <w:ind w:firstLine="720"/>
      </w:pPr>
      <w:r w:rsidRPr="002B1B80">
        <w:t>(b) . . .]</w:t>
      </w:r>
    </w:p>
    <w:p w14:paraId="020AED38" w14:textId="62534257" w:rsidR="00704641" w:rsidRDefault="00704641" w:rsidP="002B1B80">
      <w:pPr>
        <w:rPr>
          <w:i/>
          <w:iCs/>
          <w:szCs w:val="24"/>
        </w:rPr>
      </w:pPr>
      <w:r w:rsidRPr="00FD72E9">
        <w:rPr>
          <w:b/>
          <w:bCs/>
          <w:i/>
          <w:iCs/>
          <w:szCs w:val="24"/>
        </w:rPr>
        <w:t xml:space="preserve">Legislative Note: </w:t>
      </w:r>
      <w:r w:rsidRPr="00FD72E9">
        <w:rPr>
          <w:i/>
          <w:iCs/>
          <w:szCs w:val="24"/>
        </w:rPr>
        <w:t xml:space="preserve">A state should examine its statutes to determine whether </w:t>
      </w:r>
      <w:r w:rsidR="00806927">
        <w:rPr>
          <w:i/>
          <w:iCs/>
          <w:szCs w:val="24"/>
        </w:rPr>
        <w:t xml:space="preserve">repeals or </w:t>
      </w:r>
      <w:r w:rsidRPr="00FD72E9">
        <w:rPr>
          <w:i/>
          <w:iCs/>
          <w:szCs w:val="24"/>
        </w:rPr>
        <w:t>conforming revisions are required by provisions of this act relating to accrual of an equitable claim. See Section 7(b).</w:t>
      </w:r>
      <w:bookmarkStart w:id="58" w:name="_Toc336855863"/>
      <w:bookmarkStart w:id="59" w:name="_Toc46483105"/>
      <w:bookmarkStart w:id="60" w:name="_Toc67055288"/>
      <w:r w:rsidRPr="00FD72E9">
        <w:rPr>
          <w:i/>
          <w:iCs/>
          <w:szCs w:val="24"/>
        </w:rPr>
        <w:t xml:space="preserve"> A state also </w:t>
      </w:r>
      <w:r w:rsidR="00806927">
        <w:rPr>
          <w:i/>
          <w:iCs/>
          <w:szCs w:val="24"/>
        </w:rPr>
        <w:t xml:space="preserve">should </w:t>
      </w:r>
      <w:r w:rsidRPr="00FD72E9">
        <w:rPr>
          <w:i/>
          <w:iCs/>
          <w:szCs w:val="24"/>
        </w:rPr>
        <w:t xml:space="preserve">consider whether </w:t>
      </w:r>
      <w:r w:rsidR="00806927">
        <w:rPr>
          <w:i/>
          <w:iCs/>
          <w:szCs w:val="24"/>
        </w:rPr>
        <w:t xml:space="preserve">modification to </w:t>
      </w:r>
      <w:r w:rsidRPr="00FD72E9">
        <w:rPr>
          <w:i/>
          <w:iCs/>
          <w:szCs w:val="24"/>
        </w:rPr>
        <w:t xml:space="preserve">other law </w:t>
      </w:r>
      <w:r w:rsidR="00806927">
        <w:rPr>
          <w:i/>
          <w:iCs/>
          <w:szCs w:val="24"/>
        </w:rPr>
        <w:t>is</w:t>
      </w:r>
      <w:r w:rsidR="00806927" w:rsidRPr="00FD72E9">
        <w:rPr>
          <w:i/>
          <w:iCs/>
          <w:szCs w:val="24"/>
        </w:rPr>
        <w:t xml:space="preserve"> </w:t>
      </w:r>
      <w:r w:rsidRPr="00FD72E9">
        <w:rPr>
          <w:i/>
          <w:iCs/>
          <w:szCs w:val="24"/>
        </w:rPr>
        <w:t xml:space="preserve">desirable to reflect the </w:t>
      </w:r>
      <w:r w:rsidR="00806927">
        <w:rPr>
          <w:i/>
          <w:iCs/>
          <w:szCs w:val="24"/>
        </w:rPr>
        <w:t>state’s</w:t>
      </w:r>
      <w:r w:rsidR="00806927" w:rsidRPr="00FD72E9">
        <w:rPr>
          <w:i/>
          <w:iCs/>
          <w:szCs w:val="24"/>
        </w:rPr>
        <w:t xml:space="preserve"> </w:t>
      </w:r>
      <w:r w:rsidRPr="00FD72E9">
        <w:rPr>
          <w:i/>
          <w:iCs/>
          <w:szCs w:val="24"/>
        </w:rPr>
        <w:t xml:space="preserve">public policy regarding </w:t>
      </w:r>
      <w:r w:rsidR="00806927">
        <w:rPr>
          <w:i/>
          <w:iCs/>
          <w:szCs w:val="24"/>
        </w:rPr>
        <w:t>domestic partnership</w:t>
      </w:r>
      <w:r w:rsidR="00656DB8">
        <w:rPr>
          <w:i/>
          <w:iCs/>
          <w:szCs w:val="24"/>
        </w:rPr>
        <w:t>s</w:t>
      </w:r>
      <w:r w:rsidR="00806927">
        <w:rPr>
          <w:i/>
          <w:iCs/>
          <w:szCs w:val="24"/>
        </w:rPr>
        <w:t xml:space="preserve"> or civil union</w:t>
      </w:r>
      <w:r w:rsidR="00656DB8">
        <w:rPr>
          <w:i/>
          <w:iCs/>
          <w:szCs w:val="24"/>
        </w:rPr>
        <w:t>s</w:t>
      </w:r>
      <w:r w:rsidR="00806927">
        <w:rPr>
          <w:i/>
          <w:iCs/>
          <w:szCs w:val="24"/>
        </w:rPr>
        <w:t>.</w:t>
      </w:r>
    </w:p>
    <w:p w14:paraId="2F24E0E4" w14:textId="77777777" w:rsidR="00052B9F" w:rsidRPr="00FD72E9" w:rsidRDefault="00052B9F" w:rsidP="002B1B80">
      <w:pPr>
        <w:rPr>
          <w:i/>
          <w:iCs/>
          <w:szCs w:val="24"/>
        </w:rPr>
      </w:pPr>
    </w:p>
    <w:p w14:paraId="1298D0C9" w14:textId="04D1F432" w:rsidR="00704641" w:rsidRPr="00FD72E9" w:rsidRDefault="00704641" w:rsidP="002B1B80">
      <w:pPr>
        <w:widowControl w:val="0"/>
        <w:spacing w:line="480" w:lineRule="auto"/>
        <w:ind w:firstLine="720"/>
        <w:rPr>
          <w:rFonts w:eastAsia="Calibri"/>
          <w:b/>
          <w:bCs/>
          <w:szCs w:val="24"/>
        </w:rPr>
      </w:pPr>
      <w:bookmarkStart w:id="61" w:name="_Toc83988217"/>
      <w:r w:rsidRPr="00FD72E9">
        <w:rPr>
          <w:rStyle w:val="Heading1Char"/>
          <w:rFonts w:eastAsia="Calibri"/>
          <w:szCs w:val="24"/>
        </w:rPr>
        <w:t xml:space="preserve">Section </w:t>
      </w:r>
      <w:r w:rsidR="00810AFB">
        <w:rPr>
          <w:rStyle w:val="Heading1Char"/>
          <w:rFonts w:eastAsia="Calibri"/>
          <w:szCs w:val="24"/>
        </w:rPr>
        <w:t>15.</w:t>
      </w:r>
      <w:r w:rsidRPr="00FD72E9">
        <w:rPr>
          <w:rStyle w:val="Heading1Char"/>
          <w:rFonts w:eastAsia="Calibri"/>
          <w:szCs w:val="24"/>
        </w:rPr>
        <w:t xml:space="preserve"> Effective Date</w:t>
      </w:r>
      <w:bookmarkEnd w:id="58"/>
      <w:bookmarkEnd w:id="59"/>
      <w:bookmarkEnd w:id="60"/>
      <w:bookmarkEnd w:id="61"/>
    </w:p>
    <w:p w14:paraId="702BF664" w14:textId="6FB2DC4B" w:rsidR="005F1FB3" w:rsidRDefault="00704641" w:rsidP="00DB09A9">
      <w:pPr>
        <w:widowControl w:val="0"/>
        <w:ind w:firstLine="720"/>
      </w:pPr>
      <w:r w:rsidRPr="00FD72E9">
        <w:rPr>
          <w:rFonts w:eastAsia="Calibri"/>
          <w:szCs w:val="24"/>
        </w:rPr>
        <w:t xml:space="preserve">This [act] takes effect . . . </w:t>
      </w:r>
    </w:p>
    <w:sectPr w:rsidR="005F1FB3" w:rsidSect="009D0BFB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8D33" w14:textId="77777777" w:rsidR="005F5C78" w:rsidRDefault="005F5C78" w:rsidP="00704641">
      <w:r>
        <w:separator/>
      </w:r>
    </w:p>
  </w:endnote>
  <w:endnote w:type="continuationSeparator" w:id="0">
    <w:p w14:paraId="46FB66F5" w14:textId="77777777" w:rsidR="005F5C78" w:rsidRDefault="005F5C78" w:rsidP="00704641">
      <w:r>
        <w:continuationSeparator/>
      </w:r>
    </w:p>
  </w:endnote>
  <w:endnote w:type="continuationNotice" w:id="1">
    <w:p w14:paraId="49B239F3" w14:textId="77777777" w:rsidR="005F5C78" w:rsidRDefault="005F5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6F82" w14:textId="504F5B10" w:rsidR="008D1CEE" w:rsidRDefault="008D1C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854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795E0" w14:textId="2E9FBF1C" w:rsidR="00C85E18" w:rsidRDefault="00C85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317B" w14:textId="77777777" w:rsidR="005F5C78" w:rsidRDefault="005F5C78" w:rsidP="00704641">
      <w:r>
        <w:separator/>
      </w:r>
    </w:p>
  </w:footnote>
  <w:footnote w:type="continuationSeparator" w:id="0">
    <w:p w14:paraId="4972729A" w14:textId="77777777" w:rsidR="005F5C78" w:rsidRDefault="005F5C78" w:rsidP="00704641">
      <w:r>
        <w:continuationSeparator/>
      </w:r>
    </w:p>
  </w:footnote>
  <w:footnote w:type="continuationNotice" w:id="1">
    <w:p w14:paraId="05571595" w14:textId="77777777" w:rsidR="005F5C78" w:rsidRDefault="005F5C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F17"/>
    <w:multiLevelType w:val="hybridMultilevel"/>
    <w:tmpl w:val="62D620E6"/>
    <w:lvl w:ilvl="0" w:tplc="D076C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40B41"/>
    <w:multiLevelType w:val="hybridMultilevel"/>
    <w:tmpl w:val="DCB6DBF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31A82"/>
    <w:multiLevelType w:val="hybridMultilevel"/>
    <w:tmpl w:val="9D82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5DA4"/>
    <w:multiLevelType w:val="hybridMultilevel"/>
    <w:tmpl w:val="E530099E"/>
    <w:lvl w:ilvl="0" w:tplc="C14621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E4EA4"/>
    <w:multiLevelType w:val="hybridMultilevel"/>
    <w:tmpl w:val="53AC866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BB52DF"/>
    <w:multiLevelType w:val="hybridMultilevel"/>
    <w:tmpl w:val="0072619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80FFE"/>
    <w:multiLevelType w:val="hybridMultilevel"/>
    <w:tmpl w:val="DB40B9EA"/>
    <w:lvl w:ilvl="0" w:tplc="C40CB4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41F39"/>
    <w:multiLevelType w:val="hybridMultilevel"/>
    <w:tmpl w:val="A6E634F0"/>
    <w:lvl w:ilvl="0" w:tplc="4C9A30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1483F"/>
    <w:multiLevelType w:val="hybridMultilevel"/>
    <w:tmpl w:val="9B4AE3D0"/>
    <w:lvl w:ilvl="0" w:tplc="7D4EAC46">
      <w:start w:val="2"/>
      <w:numFmt w:val="decimal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74421"/>
    <w:multiLevelType w:val="hybridMultilevel"/>
    <w:tmpl w:val="CA8635F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53425"/>
    <w:multiLevelType w:val="hybridMultilevel"/>
    <w:tmpl w:val="4A180704"/>
    <w:lvl w:ilvl="0" w:tplc="FA4A8F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FF3613"/>
    <w:multiLevelType w:val="hybridMultilevel"/>
    <w:tmpl w:val="178EE946"/>
    <w:lvl w:ilvl="0" w:tplc="8DA45B1E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591C16"/>
    <w:multiLevelType w:val="hybridMultilevel"/>
    <w:tmpl w:val="B6F43208"/>
    <w:lvl w:ilvl="0" w:tplc="57FE40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A6A70"/>
    <w:multiLevelType w:val="hybridMultilevel"/>
    <w:tmpl w:val="D07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62994"/>
    <w:multiLevelType w:val="hybridMultilevel"/>
    <w:tmpl w:val="57E0A992"/>
    <w:lvl w:ilvl="0" w:tplc="912E367A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3C7523"/>
    <w:multiLevelType w:val="hybridMultilevel"/>
    <w:tmpl w:val="E2708F82"/>
    <w:lvl w:ilvl="0" w:tplc="0AD29B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D5EC7"/>
    <w:multiLevelType w:val="hybridMultilevel"/>
    <w:tmpl w:val="7F04599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F42843"/>
    <w:multiLevelType w:val="hybridMultilevel"/>
    <w:tmpl w:val="AFE0C954"/>
    <w:lvl w:ilvl="0" w:tplc="CE0075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637295"/>
    <w:multiLevelType w:val="hybridMultilevel"/>
    <w:tmpl w:val="0ACC9F84"/>
    <w:lvl w:ilvl="0" w:tplc="42B0B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BA5DD8"/>
    <w:multiLevelType w:val="hybridMultilevel"/>
    <w:tmpl w:val="2D2E9E6E"/>
    <w:lvl w:ilvl="0" w:tplc="D55A978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9D1F9E"/>
    <w:multiLevelType w:val="hybridMultilevel"/>
    <w:tmpl w:val="9884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6706"/>
    <w:multiLevelType w:val="hybridMultilevel"/>
    <w:tmpl w:val="2A7A0650"/>
    <w:lvl w:ilvl="0" w:tplc="CE82D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92DAC"/>
    <w:multiLevelType w:val="hybridMultilevel"/>
    <w:tmpl w:val="19984EA8"/>
    <w:lvl w:ilvl="0" w:tplc="6BAC3B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81104"/>
    <w:multiLevelType w:val="hybridMultilevel"/>
    <w:tmpl w:val="28D6EFAE"/>
    <w:lvl w:ilvl="0" w:tplc="C37043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207E6"/>
    <w:multiLevelType w:val="hybridMultilevel"/>
    <w:tmpl w:val="44BA0BBA"/>
    <w:lvl w:ilvl="0" w:tplc="C938F2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41BC"/>
    <w:multiLevelType w:val="hybridMultilevel"/>
    <w:tmpl w:val="0FEAC702"/>
    <w:lvl w:ilvl="0" w:tplc="22E87A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1A6627"/>
    <w:multiLevelType w:val="hybridMultilevel"/>
    <w:tmpl w:val="9C7260B0"/>
    <w:lvl w:ilvl="0" w:tplc="3878CF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917EEC"/>
    <w:multiLevelType w:val="hybridMultilevel"/>
    <w:tmpl w:val="F8CC5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A0225"/>
    <w:multiLevelType w:val="hybridMultilevel"/>
    <w:tmpl w:val="3EC0C652"/>
    <w:lvl w:ilvl="0" w:tplc="609482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26D31"/>
    <w:multiLevelType w:val="hybridMultilevel"/>
    <w:tmpl w:val="77E6320C"/>
    <w:lvl w:ilvl="0" w:tplc="D42E85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9D33B8"/>
    <w:multiLevelType w:val="hybridMultilevel"/>
    <w:tmpl w:val="B8F076E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A637E"/>
    <w:multiLevelType w:val="hybridMultilevel"/>
    <w:tmpl w:val="5B4AB430"/>
    <w:lvl w:ilvl="0" w:tplc="C39826A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8B58CF"/>
    <w:multiLevelType w:val="hybridMultilevel"/>
    <w:tmpl w:val="A504FD64"/>
    <w:lvl w:ilvl="0" w:tplc="17B01D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227DDE"/>
    <w:multiLevelType w:val="hybridMultilevel"/>
    <w:tmpl w:val="A2E6F560"/>
    <w:lvl w:ilvl="0" w:tplc="7C38169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4C4DEE"/>
    <w:multiLevelType w:val="hybridMultilevel"/>
    <w:tmpl w:val="AF827A60"/>
    <w:lvl w:ilvl="0" w:tplc="DF6011C2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780986"/>
    <w:multiLevelType w:val="hybridMultilevel"/>
    <w:tmpl w:val="82B4B6D8"/>
    <w:lvl w:ilvl="0" w:tplc="76FC43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860841">
    <w:abstractNumId w:val="8"/>
  </w:num>
  <w:num w:numId="2" w16cid:durableId="522943957">
    <w:abstractNumId w:val="3"/>
  </w:num>
  <w:num w:numId="3" w16cid:durableId="1021473427">
    <w:abstractNumId w:val="21"/>
  </w:num>
  <w:num w:numId="4" w16cid:durableId="2089158264">
    <w:abstractNumId w:val="16"/>
  </w:num>
  <w:num w:numId="5" w16cid:durableId="559831833">
    <w:abstractNumId w:val="29"/>
  </w:num>
  <w:num w:numId="6" w16cid:durableId="290284000">
    <w:abstractNumId w:val="18"/>
  </w:num>
  <w:num w:numId="7" w16cid:durableId="411775565">
    <w:abstractNumId w:val="26"/>
  </w:num>
  <w:num w:numId="8" w16cid:durableId="143087933">
    <w:abstractNumId w:val="19"/>
  </w:num>
  <w:num w:numId="9" w16cid:durableId="964772340">
    <w:abstractNumId w:val="20"/>
  </w:num>
  <w:num w:numId="10" w16cid:durableId="1742436954">
    <w:abstractNumId w:val="27"/>
  </w:num>
  <w:num w:numId="11" w16cid:durableId="60376295">
    <w:abstractNumId w:val="7"/>
  </w:num>
  <w:num w:numId="12" w16cid:durableId="1640916651">
    <w:abstractNumId w:val="28"/>
  </w:num>
  <w:num w:numId="13" w16cid:durableId="87046786">
    <w:abstractNumId w:val="15"/>
  </w:num>
  <w:num w:numId="14" w16cid:durableId="47848518">
    <w:abstractNumId w:val="14"/>
  </w:num>
  <w:num w:numId="15" w16cid:durableId="771359144">
    <w:abstractNumId w:val="33"/>
  </w:num>
  <w:num w:numId="16" w16cid:durableId="111704354">
    <w:abstractNumId w:val="32"/>
  </w:num>
  <w:num w:numId="17" w16cid:durableId="1831173860">
    <w:abstractNumId w:val="1"/>
  </w:num>
  <w:num w:numId="18" w16cid:durableId="1369599375">
    <w:abstractNumId w:val="5"/>
  </w:num>
  <w:num w:numId="19" w16cid:durableId="1349866185">
    <w:abstractNumId w:val="10"/>
  </w:num>
  <w:num w:numId="20" w16cid:durableId="298460645">
    <w:abstractNumId w:val="31"/>
  </w:num>
  <w:num w:numId="21" w16cid:durableId="682781835">
    <w:abstractNumId w:val="12"/>
  </w:num>
  <w:num w:numId="22" w16cid:durableId="164319432">
    <w:abstractNumId w:val="0"/>
  </w:num>
  <w:num w:numId="23" w16cid:durableId="324282301">
    <w:abstractNumId w:val="23"/>
  </w:num>
  <w:num w:numId="24" w16cid:durableId="1706104365">
    <w:abstractNumId w:val="6"/>
  </w:num>
  <w:num w:numId="25" w16cid:durableId="1075083264">
    <w:abstractNumId w:val="22"/>
  </w:num>
  <w:num w:numId="26" w16cid:durableId="1435200469">
    <w:abstractNumId w:val="25"/>
  </w:num>
  <w:num w:numId="27" w16cid:durableId="986857048">
    <w:abstractNumId w:val="11"/>
  </w:num>
  <w:num w:numId="28" w16cid:durableId="56978653">
    <w:abstractNumId w:val="24"/>
  </w:num>
  <w:num w:numId="29" w16cid:durableId="1681003185">
    <w:abstractNumId w:val="17"/>
  </w:num>
  <w:num w:numId="30" w16cid:durableId="2117825160">
    <w:abstractNumId w:val="34"/>
  </w:num>
  <w:num w:numId="31" w16cid:durableId="273027482">
    <w:abstractNumId w:val="35"/>
  </w:num>
  <w:num w:numId="32" w16cid:durableId="1387946367">
    <w:abstractNumId w:val="9"/>
  </w:num>
  <w:num w:numId="33" w16cid:durableId="311494310">
    <w:abstractNumId w:val="30"/>
  </w:num>
  <w:num w:numId="34" w16cid:durableId="1271400692">
    <w:abstractNumId w:val="2"/>
  </w:num>
  <w:num w:numId="35" w16cid:durableId="342635150">
    <w:abstractNumId w:val="13"/>
  </w:num>
  <w:num w:numId="36" w16cid:durableId="18378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Guid" w:val="f509ecd6-12f3-4c4d-8f8d-74d8104718ef"/>
  </w:docVars>
  <w:rsids>
    <w:rsidRoot w:val="00704641"/>
    <w:rsid w:val="000027C9"/>
    <w:rsid w:val="000070B8"/>
    <w:rsid w:val="00007FD4"/>
    <w:rsid w:val="00010BFA"/>
    <w:rsid w:val="000309B0"/>
    <w:rsid w:val="00034B6F"/>
    <w:rsid w:val="00043DAE"/>
    <w:rsid w:val="00052B9F"/>
    <w:rsid w:val="000600B9"/>
    <w:rsid w:val="00061C5C"/>
    <w:rsid w:val="00080BBC"/>
    <w:rsid w:val="000826F7"/>
    <w:rsid w:val="000A5C41"/>
    <w:rsid w:val="000B52BE"/>
    <w:rsid w:val="000B5E61"/>
    <w:rsid w:val="000D4101"/>
    <w:rsid w:val="000D6343"/>
    <w:rsid w:val="000E6FDF"/>
    <w:rsid w:val="000E798D"/>
    <w:rsid w:val="00100B74"/>
    <w:rsid w:val="00101EFB"/>
    <w:rsid w:val="00114A06"/>
    <w:rsid w:val="00126151"/>
    <w:rsid w:val="00133075"/>
    <w:rsid w:val="0014093B"/>
    <w:rsid w:val="001443B3"/>
    <w:rsid w:val="001974E8"/>
    <w:rsid w:val="001A513E"/>
    <w:rsid w:val="001B0205"/>
    <w:rsid w:val="001C6B09"/>
    <w:rsid w:val="001E2A37"/>
    <w:rsid w:val="001E6DEF"/>
    <w:rsid w:val="001F3D1E"/>
    <w:rsid w:val="002044A0"/>
    <w:rsid w:val="00207951"/>
    <w:rsid w:val="002114A0"/>
    <w:rsid w:val="00220B78"/>
    <w:rsid w:val="00223A8D"/>
    <w:rsid w:val="00226A6F"/>
    <w:rsid w:val="00226CEF"/>
    <w:rsid w:val="0023644B"/>
    <w:rsid w:val="00244402"/>
    <w:rsid w:val="00250516"/>
    <w:rsid w:val="002519DA"/>
    <w:rsid w:val="00252608"/>
    <w:rsid w:val="002660EB"/>
    <w:rsid w:val="00266304"/>
    <w:rsid w:val="002713A4"/>
    <w:rsid w:val="002753C1"/>
    <w:rsid w:val="002810F4"/>
    <w:rsid w:val="0028135C"/>
    <w:rsid w:val="00283788"/>
    <w:rsid w:val="0029708E"/>
    <w:rsid w:val="002A0223"/>
    <w:rsid w:val="002A0E27"/>
    <w:rsid w:val="002A26BF"/>
    <w:rsid w:val="002A4524"/>
    <w:rsid w:val="002A5240"/>
    <w:rsid w:val="002B1240"/>
    <w:rsid w:val="002B1B80"/>
    <w:rsid w:val="002B22C8"/>
    <w:rsid w:val="002D41FB"/>
    <w:rsid w:val="002D780C"/>
    <w:rsid w:val="002F1C10"/>
    <w:rsid w:val="0030111C"/>
    <w:rsid w:val="00305104"/>
    <w:rsid w:val="00306391"/>
    <w:rsid w:val="0030656E"/>
    <w:rsid w:val="0031292F"/>
    <w:rsid w:val="00324942"/>
    <w:rsid w:val="003261FC"/>
    <w:rsid w:val="00330F40"/>
    <w:rsid w:val="00334A6E"/>
    <w:rsid w:val="00361395"/>
    <w:rsid w:val="003675A2"/>
    <w:rsid w:val="00371322"/>
    <w:rsid w:val="003816D8"/>
    <w:rsid w:val="00391BEC"/>
    <w:rsid w:val="003A1EAC"/>
    <w:rsid w:val="003B3331"/>
    <w:rsid w:val="003B5BD0"/>
    <w:rsid w:val="003E78A3"/>
    <w:rsid w:val="003E78B1"/>
    <w:rsid w:val="003F03AD"/>
    <w:rsid w:val="003F1FF9"/>
    <w:rsid w:val="003F57D4"/>
    <w:rsid w:val="003F6F14"/>
    <w:rsid w:val="004031D3"/>
    <w:rsid w:val="00411933"/>
    <w:rsid w:val="0041719B"/>
    <w:rsid w:val="00417B03"/>
    <w:rsid w:val="00427D13"/>
    <w:rsid w:val="00434C23"/>
    <w:rsid w:val="00453A24"/>
    <w:rsid w:val="00456ECD"/>
    <w:rsid w:val="0046021F"/>
    <w:rsid w:val="004672D3"/>
    <w:rsid w:val="00470063"/>
    <w:rsid w:val="0047745A"/>
    <w:rsid w:val="00493110"/>
    <w:rsid w:val="00496529"/>
    <w:rsid w:val="004B091E"/>
    <w:rsid w:val="004B2A5D"/>
    <w:rsid w:val="004D766A"/>
    <w:rsid w:val="004E13D1"/>
    <w:rsid w:val="00503533"/>
    <w:rsid w:val="00505795"/>
    <w:rsid w:val="00510BB3"/>
    <w:rsid w:val="00517080"/>
    <w:rsid w:val="00520844"/>
    <w:rsid w:val="00525035"/>
    <w:rsid w:val="00541641"/>
    <w:rsid w:val="00550818"/>
    <w:rsid w:val="0055729A"/>
    <w:rsid w:val="00557DE1"/>
    <w:rsid w:val="00561CBE"/>
    <w:rsid w:val="00562090"/>
    <w:rsid w:val="00593E4B"/>
    <w:rsid w:val="005940B1"/>
    <w:rsid w:val="00596C9F"/>
    <w:rsid w:val="00597BA0"/>
    <w:rsid w:val="005A182E"/>
    <w:rsid w:val="005B3038"/>
    <w:rsid w:val="005C536D"/>
    <w:rsid w:val="005D5E12"/>
    <w:rsid w:val="005E2857"/>
    <w:rsid w:val="005F1FB3"/>
    <w:rsid w:val="005F4FDE"/>
    <w:rsid w:val="005F5C78"/>
    <w:rsid w:val="00600CE1"/>
    <w:rsid w:val="00614D53"/>
    <w:rsid w:val="00631B72"/>
    <w:rsid w:val="006347BA"/>
    <w:rsid w:val="006509C8"/>
    <w:rsid w:val="00654568"/>
    <w:rsid w:val="00656521"/>
    <w:rsid w:val="00656DB8"/>
    <w:rsid w:val="00671106"/>
    <w:rsid w:val="00677F2C"/>
    <w:rsid w:val="00683630"/>
    <w:rsid w:val="00694DCB"/>
    <w:rsid w:val="00694F20"/>
    <w:rsid w:val="006B77EA"/>
    <w:rsid w:val="006C2A9E"/>
    <w:rsid w:val="006F01DD"/>
    <w:rsid w:val="006F2C9C"/>
    <w:rsid w:val="006F4BB9"/>
    <w:rsid w:val="00704641"/>
    <w:rsid w:val="007047C3"/>
    <w:rsid w:val="00716684"/>
    <w:rsid w:val="007231A1"/>
    <w:rsid w:val="00730519"/>
    <w:rsid w:val="00735022"/>
    <w:rsid w:val="0074208E"/>
    <w:rsid w:val="00744D06"/>
    <w:rsid w:val="00744D61"/>
    <w:rsid w:val="0074652E"/>
    <w:rsid w:val="007600BB"/>
    <w:rsid w:val="00760EDE"/>
    <w:rsid w:val="00791670"/>
    <w:rsid w:val="00794283"/>
    <w:rsid w:val="00795BC6"/>
    <w:rsid w:val="00797952"/>
    <w:rsid w:val="007A060D"/>
    <w:rsid w:val="007A43BB"/>
    <w:rsid w:val="007A5416"/>
    <w:rsid w:val="007A5744"/>
    <w:rsid w:val="007B02AD"/>
    <w:rsid w:val="007B252C"/>
    <w:rsid w:val="007B4A5D"/>
    <w:rsid w:val="007B5BE3"/>
    <w:rsid w:val="007B7919"/>
    <w:rsid w:val="007D1DD7"/>
    <w:rsid w:val="007F07AA"/>
    <w:rsid w:val="008008AB"/>
    <w:rsid w:val="00806927"/>
    <w:rsid w:val="00810AFB"/>
    <w:rsid w:val="0082522B"/>
    <w:rsid w:val="0083257D"/>
    <w:rsid w:val="00834FBF"/>
    <w:rsid w:val="00836980"/>
    <w:rsid w:val="0084570F"/>
    <w:rsid w:val="00860DCD"/>
    <w:rsid w:val="00866044"/>
    <w:rsid w:val="008808A7"/>
    <w:rsid w:val="008847E8"/>
    <w:rsid w:val="00897C83"/>
    <w:rsid w:val="008B07E7"/>
    <w:rsid w:val="008B5574"/>
    <w:rsid w:val="008C2607"/>
    <w:rsid w:val="008C4500"/>
    <w:rsid w:val="008D1CEE"/>
    <w:rsid w:val="008D2F0E"/>
    <w:rsid w:val="008E3304"/>
    <w:rsid w:val="008E361B"/>
    <w:rsid w:val="008F4C00"/>
    <w:rsid w:val="00900218"/>
    <w:rsid w:val="009072FE"/>
    <w:rsid w:val="00912FDD"/>
    <w:rsid w:val="00927037"/>
    <w:rsid w:val="00931C2D"/>
    <w:rsid w:val="00943847"/>
    <w:rsid w:val="00956E1C"/>
    <w:rsid w:val="00961473"/>
    <w:rsid w:val="00964A3A"/>
    <w:rsid w:val="00967E6C"/>
    <w:rsid w:val="00982D43"/>
    <w:rsid w:val="009A7D4B"/>
    <w:rsid w:val="009B5DF2"/>
    <w:rsid w:val="009C5CB9"/>
    <w:rsid w:val="009D0BFB"/>
    <w:rsid w:val="009D140B"/>
    <w:rsid w:val="009F3B72"/>
    <w:rsid w:val="009F6647"/>
    <w:rsid w:val="00A100FD"/>
    <w:rsid w:val="00A14A81"/>
    <w:rsid w:val="00A21E7A"/>
    <w:rsid w:val="00A24911"/>
    <w:rsid w:val="00A31091"/>
    <w:rsid w:val="00A810AB"/>
    <w:rsid w:val="00A866B3"/>
    <w:rsid w:val="00A958F5"/>
    <w:rsid w:val="00A95DB4"/>
    <w:rsid w:val="00A960CC"/>
    <w:rsid w:val="00AA010D"/>
    <w:rsid w:val="00AA035B"/>
    <w:rsid w:val="00AA137E"/>
    <w:rsid w:val="00AA52D3"/>
    <w:rsid w:val="00AD469C"/>
    <w:rsid w:val="00AD5F6B"/>
    <w:rsid w:val="00AE3A65"/>
    <w:rsid w:val="00AF256E"/>
    <w:rsid w:val="00B01624"/>
    <w:rsid w:val="00B2269A"/>
    <w:rsid w:val="00B2394E"/>
    <w:rsid w:val="00B332F8"/>
    <w:rsid w:val="00B34553"/>
    <w:rsid w:val="00B346D2"/>
    <w:rsid w:val="00B41A38"/>
    <w:rsid w:val="00B44F2E"/>
    <w:rsid w:val="00B57F94"/>
    <w:rsid w:val="00B652EE"/>
    <w:rsid w:val="00B678A6"/>
    <w:rsid w:val="00B71D7E"/>
    <w:rsid w:val="00B96701"/>
    <w:rsid w:val="00BA3BCE"/>
    <w:rsid w:val="00BC03BA"/>
    <w:rsid w:val="00BC4A10"/>
    <w:rsid w:val="00BD21F4"/>
    <w:rsid w:val="00BE26CE"/>
    <w:rsid w:val="00BE2B13"/>
    <w:rsid w:val="00BE6E94"/>
    <w:rsid w:val="00C03685"/>
    <w:rsid w:val="00C062C2"/>
    <w:rsid w:val="00C1741A"/>
    <w:rsid w:val="00C25702"/>
    <w:rsid w:val="00C408E1"/>
    <w:rsid w:val="00C50827"/>
    <w:rsid w:val="00C53250"/>
    <w:rsid w:val="00C67A34"/>
    <w:rsid w:val="00C7344C"/>
    <w:rsid w:val="00C83219"/>
    <w:rsid w:val="00C85E18"/>
    <w:rsid w:val="00C90491"/>
    <w:rsid w:val="00C91442"/>
    <w:rsid w:val="00C9227F"/>
    <w:rsid w:val="00C945F6"/>
    <w:rsid w:val="00CA08F5"/>
    <w:rsid w:val="00CA361F"/>
    <w:rsid w:val="00CA3EE5"/>
    <w:rsid w:val="00CB29C7"/>
    <w:rsid w:val="00CC2627"/>
    <w:rsid w:val="00CC3DF1"/>
    <w:rsid w:val="00CE6DFE"/>
    <w:rsid w:val="00D07A2E"/>
    <w:rsid w:val="00D124D0"/>
    <w:rsid w:val="00D130B9"/>
    <w:rsid w:val="00D15E36"/>
    <w:rsid w:val="00D5123D"/>
    <w:rsid w:val="00D74517"/>
    <w:rsid w:val="00D841A4"/>
    <w:rsid w:val="00D868AB"/>
    <w:rsid w:val="00D9062A"/>
    <w:rsid w:val="00D91BC0"/>
    <w:rsid w:val="00D93F4B"/>
    <w:rsid w:val="00DB09A9"/>
    <w:rsid w:val="00DC60F8"/>
    <w:rsid w:val="00DD3DE8"/>
    <w:rsid w:val="00DD487B"/>
    <w:rsid w:val="00DD4BA8"/>
    <w:rsid w:val="00DE21DE"/>
    <w:rsid w:val="00DE6D3D"/>
    <w:rsid w:val="00E07540"/>
    <w:rsid w:val="00E139CD"/>
    <w:rsid w:val="00E16AD5"/>
    <w:rsid w:val="00E17596"/>
    <w:rsid w:val="00E26935"/>
    <w:rsid w:val="00E36EA4"/>
    <w:rsid w:val="00E467BC"/>
    <w:rsid w:val="00E46B76"/>
    <w:rsid w:val="00E522E7"/>
    <w:rsid w:val="00E55252"/>
    <w:rsid w:val="00E615F2"/>
    <w:rsid w:val="00E72539"/>
    <w:rsid w:val="00E86AE0"/>
    <w:rsid w:val="00E86EAD"/>
    <w:rsid w:val="00E94BC9"/>
    <w:rsid w:val="00EA6E40"/>
    <w:rsid w:val="00EC70F7"/>
    <w:rsid w:val="00EF2B7F"/>
    <w:rsid w:val="00F02AB1"/>
    <w:rsid w:val="00F040BB"/>
    <w:rsid w:val="00F30FE3"/>
    <w:rsid w:val="00F3277E"/>
    <w:rsid w:val="00F41252"/>
    <w:rsid w:val="00F42556"/>
    <w:rsid w:val="00F513F0"/>
    <w:rsid w:val="00F62948"/>
    <w:rsid w:val="00F83E5A"/>
    <w:rsid w:val="00F917EC"/>
    <w:rsid w:val="00FA30F9"/>
    <w:rsid w:val="00FA6200"/>
    <w:rsid w:val="00FB0342"/>
    <w:rsid w:val="00FB45DF"/>
    <w:rsid w:val="00FB5A93"/>
    <w:rsid w:val="00FC0AC2"/>
    <w:rsid w:val="00FC7F22"/>
    <w:rsid w:val="00FD633D"/>
    <w:rsid w:val="00FF4855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FB26"/>
  <w15:chartTrackingRefBased/>
  <w15:docId w15:val="{823E3F50-58BD-BA46-B859-47934E1A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41"/>
    <w:rPr>
      <w:rFonts w:ascii="Times New Roman" w:eastAsia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641"/>
    <w:pPr>
      <w:keepNext/>
      <w:keepLines/>
      <w:widowControl w:val="0"/>
      <w:spacing w:line="480" w:lineRule="auto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04641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41"/>
    <w:rPr>
      <w:rFonts w:ascii="Times New Roman" w:eastAsia="Times New Roman" w:hAnsi="Times New Roman" w:cs="Times New Roman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704641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704641"/>
    <w:pPr>
      <w:widowControl w:val="0"/>
    </w:pPr>
    <w:rPr>
      <w:sz w:val="20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641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CommentReference">
    <w:name w:val="annotation reference"/>
    <w:uiPriority w:val="99"/>
    <w:semiHidden/>
    <w:unhideWhenUsed/>
    <w:rsid w:val="00704641"/>
    <w:rPr>
      <w:rFonts w:ascii="Times New Roman" w:hAnsi="Times New Roman" w:cs="Times New Roman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641"/>
    <w:pPr>
      <w:widowControl w:val="0"/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704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641"/>
    <w:rPr>
      <w:rFonts w:ascii="Times New Roman" w:eastAsia="Times New Roman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04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641"/>
    <w:rPr>
      <w:rFonts w:ascii="Times New Roman" w:eastAsia="Times New Roman" w:hAnsi="Times New Roman" w:cs="Times New Roman"/>
      <w:szCs w:val="22"/>
    </w:rPr>
  </w:style>
  <w:style w:type="paragraph" w:styleId="NormalWeb">
    <w:name w:val="Normal (Web)"/>
    <w:basedOn w:val="Normal"/>
    <w:uiPriority w:val="99"/>
    <w:unhideWhenUsed/>
    <w:rsid w:val="00704641"/>
    <w:pPr>
      <w:spacing w:before="100" w:beforeAutospacing="1" w:after="100" w:afterAutospacing="1"/>
    </w:pPr>
    <w:rPr>
      <w:szCs w:val="24"/>
    </w:rPr>
  </w:style>
  <w:style w:type="character" w:customStyle="1" w:styleId="CommentSubjectChar">
    <w:name w:val="Comment Subject Char"/>
    <w:link w:val="CommentSubject"/>
    <w:uiPriority w:val="99"/>
    <w:semiHidden/>
    <w:rsid w:val="00704641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641"/>
    <w:pPr>
      <w:widowControl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04641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customStyle="1" w:styleId="BalloonTextChar">
    <w:name w:val="Balloon Text Char"/>
    <w:link w:val="BalloonText"/>
    <w:uiPriority w:val="99"/>
    <w:semiHidden/>
    <w:rsid w:val="00704641"/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641"/>
    <w:rPr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04641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704641"/>
    <w:rPr>
      <w:color w:val="0000FF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346D2"/>
    <w:pPr>
      <w:widowControl w:val="0"/>
      <w:tabs>
        <w:tab w:val="right" w:leader="dot" w:pos="9350"/>
      </w:tabs>
      <w:ind w:left="720" w:hanging="720"/>
    </w:pPr>
    <w:rPr>
      <w:rFonts w:eastAsia="Calibri"/>
      <w:bCs/>
      <w:noProof/>
    </w:rPr>
  </w:style>
  <w:style w:type="character" w:customStyle="1" w:styleId="TOC1Char">
    <w:name w:val="TOC 1 Char"/>
    <w:link w:val="TOC1"/>
    <w:uiPriority w:val="39"/>
    <w:rsid w:val="00B346D2"/>
    <w:rPr>
      <w:rFonts w:ascii="Times New Roman" w:eastAsia="Calibri" w:hAnsi="Times New Roman" w:cs="Times New Roman"/>
      <w:bCs/>
      <w:noProof/>
      <w:szCs w:val="22"/>
    </w:rPr>
  </w:style>
  <w:style w:type="paragraph" w:customStyle="1" w:styleId="xmsonormal">
    <w:name w:val="x_msonormal"/>
    <w:basedOn w:val="Normal"/>
    <w:rsid w:val="00704641"/>
    <w:pPr>
      <w:spacing w:before="100" w:beforeAutospacing="1" w:after="100" w:afterAutospacing="1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4641"/>
    <w:rPr>
      <w:rFonts w:ascii="Calibri" w:eastAsia="Calibri" w:hAnsi="Calibri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4641"/>
    <w:rPr>
      <w:rFonts w:ascii="Calibri" w:eastAsia="Calibri" w:hAnsi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6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64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04641"/>
    <w:rPr>
      <w:vertAlign w:val="superscript"/>
    </w:rPr>
  </w:style>
  <w:style w:type="character" w:customStyle="1" w:styleId="cosearchterm">
    <w:name w:val="co_searchterm"/>
    <w:basedOn w:val="DefaultParagraphFont"/>
    <w:rsid w:val="00704641"/>
  </w:style>
  <w:style w:type="paragraph" w:customStyle="1" w:styleId="xxxxxmsonormal">
    <w:name w:val="x_x_x_x_x_msonormal"/>
    <w:basedOn w:val="Normal"/>
    <w:rsid w:val="00704641"/>
    <w:pPr>
      <w:spacing w:before="100" w:beforeAutospacing="1" w:after="100" w:afterAutospacing="1"/>
    </w:pPr>
    <w:rPr>
      <w:szCs w:val="24"/>
    </w:rPr>
  </w:style>
  <w:style w:type="character" w:customStyle="1" w:styleId="UnresolvedMention2">
    <w:name w:val="Unresolved Mention2"/>
    <w:uiPriority w:val="99"/>
    <w:semiHidden/>
    <w:unhideWhenUsed/>
    <w:rsid w:val="00704641"/>
    <w:rPr>
      <w:color w:val="605E5C"/>
      <w:shd w:val="clear" w:color="auto" w:fill="E1DFDD"/>
    </w:rPr>
  </w:style>
  <w:style w:type="character" w:customStyle="1" w:styleId="mark9may4cqvd">
    <w:name w:val="mark9may4cqvd"/>
    <w:basedOn w:val="DefaultParagraphFont"/>
    <w:rsid w:val="00704641"/>
  </w:style>
  <w:style w:type="character" w:customStyle="1" w:styleId="mark3d6elubek">
    <w:name w:val="mark3d6elubek"/>
    <w:basedOn w:val="DefaultParagraphFont"/>
    <w:rsid w:val="00704641"/>
  </w:style>
  <w:style w:type="character" w:customStyle="1" w:styleId="marks0ju8sz91">
    <w:name w:val="marks0ju8sz91"/>
    <w:basedOn w:val="DefaultParagraphFont"/>
    <w:rsid w:val="00704641"/>
  </w:style>
  <w:style w:type="character" w:styleId="Strong">
    <w:name w:val="Strong"/>
    <w:uiPriority w:val="22"/>
    <w:qFormat/>
    <w:rsid w:val="00704641"/>
    <w:rPr>
      <w:b/>
      <w:bCs/>
    </w:rPr>
  </w:style>
  <w:style w:type="character" w:customStyle="1" w:styleId="coconcept2737">
    <w:name w:val="co_concept_27_37"/>
    <w:basedOn w:val="DefaultParagraphFont"/>
    <w:rsid w:val="00704641"/>
  </w:style>
  <w:style w:type="character" w:customStyle="1" w:styleId="cf01">
    <w:name w:val="cf01"/>
    <w:basedOn w:val="DefaultParagraphFont"/>
    <w:rsid w:val="00704641"/>
    <w:rPr>
      <w:rFonts w:ascii="Segoe UI" w:hAnsi="Segoe UI" w:cs="Segoe UI" w:hint="default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4641"/>
    <w:rPr>
      <w:color w:val="605E5C"/>
      <w:shd w:val="clear" w:color="auto" w:fill="E1DFDD"/>
    </w:rPr>
  </w:style>
  <w:style w:type="paragraph" w:customStyle="1" w:styleId="xstyle1">
    <w:name w:val="x_style1"/>
    <w:basedOn w:val="Normal"/>
    <w:rsid w:val="00704641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704641"/>
    <w:rPr>
      <w:i/>
      <w:iCs/>
    </w:rPr>
  </w:style>
  <w:style w:type="character" w:customStyle="1" w:styleId="apple-converted-space">
    <w:name w:val="apple-converted-space"/>
    <w:basedOn w:val="DefaultParagraphFont"/>
    <w:rsid w:val="00704641"/>
  </w:style>
  <w:style w:type="character" w:customStyle="1" w:styleId="costarpage">
    <w:name w:val="co_starpage"/>
    <w:basedOn w:val="DefaultParagraphFont"/>
    <w:rsid w:val="00704641"/>
  </w:style>
  <w:style w:type="character" w:customStyle="1" w:styleId="coconcept15">
    <w:name w:val="co_concept_1_5"/>
    <w:basedOn w:val="DefaultParagraphFont"/>
    <w:rsid w:val="00704641"/>
  </w:style>
  <w:style w:type="character" w:customStyle="1" w:styleId="coconcept1017">
    <w:name w:val="co_concept_10_17"/>
    <w:basedOn w:val="DefaultParagraphFont"/>
    <w:rsid w:val="00704641"/>
  </w:style>
  <w:style w:type="character" w:customStyle="1" w:styleId="markrdhcec176">
    <w:name w:val="markrdhcec176"/>
    <w:basedOn w:val="DefaultParagraphFont"/>
    <w:rsid w:val="00704641"/>
  </w:style>
  <w:style w:type="paragraph" w:styleId="Revision">
    <w:name w:val="Revision"/>
    <w:hidden/>
    <w:uiPriority w:val="99"/>
    <w:semiHidden/>
    <w:rsid w:val="007D1DD7"/>
    <w:rPr>
      <w:rFonts w:ascii="Times New Roman" w:eastAsia="Times New Roman" w:hAnsi="Times New Roman" w:cs="Times New Roman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B45D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A137E"/>
  </w:style>
  <w:style w:type="paragraph" w:customStyle="1" w:styleId="Default">
    <w:name w:val="Default"/>
    <w:rsid w:val="002D780C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 W y a t t D a t a ! 1 0 0 5 4 7 5 1 7 . 1 < / d o c u m e n t i d >  
     < s e n d e r i d > T B E R R Y < / s e n d e r i d >  
     < s e n d e r e m a i l > T B E R R Y @ W Y A T T F I R M . C O M < / s e n d e r e m a i l >  
     < l a s t m o d i f i e d > 2 0 2 1 - 0 8 - 2 1 T 1 8 : 3 9 : 0 0 . 0 0 0 0 0 0 0 - 0 4 : 0 0 < / l a s t m o d i f i e d >  
     < d a t a b a s e > W y a t t D a t a 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2F817BAE949428904E3343CEF877B" ma:contentTypeVersion="6" ma:contentTypeDescription="Create a new document." ma:contentTypeScope="" ma:versionID="85bd2c3da0f4b7cd50142155a1c2d4dd">
  <xsd:schema xmlns:xsd="http://www.w3.org/2001/XMLSchema" xmlns:xs="http://www.w3.org/2001/XMLSchema" xmlns:p="http://schemas.microsoft.com/office/2006/metadata/properties" xmlns:ns2="b2b2e232-66ed-40ff-a333-3a5a73f1dd2a" targetNamespace="http://schemas.microsoft.com/office/2006/metadata/properties" ma:root="true" ma:fieldsID="97b6ad2ecf0f4212c877b02066c6b369" ns2:_="">
    <xsd:import namespace="b2b2e232-66ed-40ff-a333-3a5a73f1d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2e232-66ed-40ff-a333-3a5a73f1d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F955D-EA19-E142-8450-7A9C84CCFFB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E1A9F95-DDF4-4BE6-BCC5-AE0BE3905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8E3E1-3DF8-4EAC-8981-700E9004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2e232-66ed-40ff-a333-3a5a73f1d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59FF26-5B7A-41A6-8331-A323E9D3C3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Links>
    <vt:vector size="12" baseType="variant"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https://www.pewresearch.org/fact-tank/2019/11/06/key-findings-on-marriage-and-cohabitation-in-the-u-s/</vt:lpwstr>
      </vt:variant>
      <vt:variant>
        <vt:lpwstr/>
      </vt:variant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https://www.census.gov/library/stories/2019/09/unmarried-partners-more-diverse-than-20-years-ago.html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devine</dc:creator>
  <cp:keywords/>
  <dc:description/>
  <cp:lastModifiedBy>Lucy Grelle</cp:lastModifiedBy>
  <cp:revision>10</cp:revision>
  <dcterms:created xsi:type="dcterms:W3CDTF">2021-10-01T18:56:00Z</dcterms:created>
  <dcterms:modified xsi:type="dcterms:W3CDTF">2022-05-04T20:04:00Z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0x0101004272F817BAE949428904E3343CEF877B</vt:lpwstr>
  </property>
</Properties>
</file>